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rPr>
          <w:rFonts w:hint="eastAsia" w:ascii="宋体" w:hAnsi="宋体"/>
          <w:b/>
          <w:color w:val="auto"/>
          <w:kern w:val="0"/>
          <w:sz w:val="30"/>
          <w:szCs w:val="30"/>
          <w:highlight w:val="none"/>
          <w:lang w:eastAsia="zh-CN"/>
        </w:rPr>
      </w:pPr>
    </w:p>
    <w:p>
      <w:pPr>
        <w:autoSpaceDE w:val="0"/>
        <w:autoSpaceDN w:val="0"/>
        <w:adjustRightInd w:val="0"/>
        <w:snapToGrid w:val="0"/>
        <w:spacing w:line="360" w:lineRule="auto"/>
        <w:rPr>
          <w:rFonts w:hint="eastAsia" w:ascii="宋体" w:hAnsi="宋体"/>
          <w:b/>
          <w:color w:val="auto"/>
          <w:kern w:val="0"/>
          <w:sz w:val="30"/>
          <w:szCs w:val="30"/>
          <w:highlight w:val="none"/>
          <w:lang w:eastAsia="zh-CN"/>
        </w:rPr>
      </w:pPr>
      <w:r>
        <w:rPr>
          <w:rFonts w:hint="eastAsia" w:ascii="宋体" w:hAnsi="宋体"/>
          <w:b/>
          <w:color w:val="auto"/>
          <w:kern w:val="0"/>
          <w:sz w:val="30"/>
          <w:szCs w:val="30"/>
          <w:highlight w:val="none"/>
          <w:lang w:eastAsia="zh-CN"/>
        </w:rPr>
        <w:t>项目名称：重庆国际光影文化旅游季-重庆市儿童公园光影艺术邀请展</w:t>
      </w:r>
      <w:r>
        <w:rPr>
          <w:rFonts w:hint="eastAsia" w:ascii="宋体" w:hAnsi="宋体"/>
          <w:b/>
          <w:color w:val="auto"/>
          <w:kern w:val="0"/>
          <w:sz w:val="30"/>
          <w:szCs w:val="30"/>
          <w:highlight w:val="none"/>
          <w:lang w:val="en-US" w:eastAsia="zh-CN"/>
        </w:rPr>
        <w:t>执行单位</w:t>
      </w:r>
      <w:r>
        <w:rPr>
          <w:rFonts w:hint="eastAsia" w:ascii="宋体" w:hAnsi="宋体"/>
          <w:b/>
          <w:color w:val="auto"/>
          <w:kern w:val="0"/>
          <w:sz w:val="30"/>
          <w:szCs w:val="30"/>
          <w:highlight w:val="none"/>
          <w:lang w:eastAsia="zh-CN"/>
        </w:rPr>
        <w:t>采购</w:t>
      </w:r>
    </w:p>
    <w:p>
      <w:pPr>
        <w:autoSpaceDE w:val="0"/>
        <w:autoSpaceDN w:val="0"/>
        <w:adjustRightInd w:val="0"/>
        <w:snapToGrid w:val="0"/>
        <w:spacing w:line="360" w:lineRule="auto"/>
        <w:jc w:val="center"/>
        <w:rPr>
          <w:rFonts w:hint="eastAsia" w:ascii="宋体" w:hAnsi="宋体" w:cs="MingLiU"/>
          <w:b/>
          <w:color w:val="auto"/>
          <w:kern w:val="0"/>
          <w:sz w:val="84"/>
          <w:szCs w:val="44"/>
          <w:highlight w:val="none"/>
        </w:rPr>
      </w:pPr>
    </w:p>
    <w:p>
      <w:pPr>
        <w:pStyle w:val="52"/>
        <w:rPr>
          <w:rFonts w:hint="eastAsia"/>
          <w:color w:val="auto"/>
          <w:highlight w:val="none"/>
        </w:rPr>
      </w:pPr>
    </w:p>
    <w:p>
      <w:pPr>
        <w:autoSpaceDE w:val="0"/>
        <w:autoSpaceDN w:val="0"/>
        <w:adjustRightInd w:val="0"/>
        <w:snapToGrid w:val="0"/>
        <w:spacing w:line="360" w:lineRule="auto"/>
        <w:jc w:val="center"/>
        <w:rPr>
          <w:rFonts w:hint="eastAsia" w:ascii="宋体" w:hAnsi="宋体" w:cs="MingLiU"/>
          <w:b/>
          <w:color w:val="auto"/>
          <w:kern w:val="0"/>
          <w:sz w:val="84"/>
          <w:szCs w:val="44"/>
          <w:highlight w:val="none"/>
        </w:rPr>
      </w:pPr>
      <w:r>
        <w:rPr>
          <w:rFonts w:hint="eastAsia" w:ascii="宋体" w:hAnsi="宋体" w:cs="MingLiU"/>
          <w:b/>
          <w:color w:val="auto"/>
          <w:kern w:val="0"/>
          <w:sz w:val="84"/>
          <w:szCs w:val="44"/>
          <w:highlight w:val="none"/>
          <w:lang w:eastAsia="zh-CN"/>
        </w:rPr>
        <w:t>公开</w:t>
      </w:r>
      <w:r>
        <w:rPr>
          <w:rFonts w:hint="eastAsia" w:ascii="宋体" w:hAnsi="宋体" w:cs="MingLiU"/>
          <w:b/>
          <w:color w:val="auto"/>
          <w:kern w:val="0"/>
          <w:sz w:val="84"/>
          <w:szCs w:val="44"/>
          <w:highlight w:val="none"/>
        </w:rPr>
        <w:t>比选文件</w:t>
      </w:r>
    </w:p>
    <w:p>
      <w:pPr>
        <w:autoSpaceDE w:val="0"/>
        <w:autoSpaceDN w:val="0"/>
        <w:adjustRightInd w:val="0"/>
        <w:snapToGrid w:val="0"/>
        <w:spacing w:line="360" w:lineRule="auto"/>
        <w:jc w:val="left"/>
        <w:rPr>
          <w:rFonts w:ascii="宋体" w:hAnsi="宋体" w:cs="MingLiU"/>
          <w:color w:val="auto"/>
          <w:kern w:val="0"/>
          <w:sz w:val="10"/>
          <w:szCs w:val="10"/>
          <w:highlight w:val="none"/>
        </w:rPr>
      </w:pPr>
    </w:p>
    <w:p>
      <w:pPr>
        <w:autoSpaceDE w:val="0"/>
        <w:autoSpaceDN w:val="0"/>
        <w:adjustRightInd w:val="0"/>
        <w:snapToGrid w:val="0"/>
        <w:spacing w:line="360" w:lineRule="auto"/>
        <w:jc w:val="center"/>
        <w:rPr>
          <w:color w:val="auto"/>
          <w:highlight w:val="none"/>
        </w:rPr>
      </w:pPr>
    </w:p>
    <w:p>
      <w:pPr>
        <w:autoSpaceDE w:val="0"/>
        <w:autoSpaceDN w:val="0"/>
        <w:adjustRightInd w:val="0"/>
        <w:snapToGrid w:val="0"/>
        <w:spacing w:line="360" w:lineRule="auto"/>
        <w:jc w:val="center"/>
        <w:rPr>
          <w:color w:val="auto"/>
          <w:highlight w:val="none"/>
        </w:rPr>
      </w:pPr>
    </w:p>
    <w:p>
      <w:pPr>
        <w:autoSpaceDE w:val="0"/>
        <w:autoSpaceDN w:val="0"/>
        <w:adjustRightInd w:val="0"/>
        <w:snapToGrid w:val="0"/>
        <w:spacing w:line="360" w:lineRule="auto"/>
        <w:jc w:val="center"/>
        <w:rPr>
          <w:color w:val="auto"/>
          <w:highlight w:val="none"/>
        </w:rPr>
      </w:pPr>
    </w:p>
    <w:p>
      <w:pPr>
        <w:autoSpaceDE w:val="0"/>
        <w:autoSpaceDN w:val="0"/>
        <w:adjustRightInd w:val="0"/>
        <w:snapToGrid w:val="0"/>
        <w:spacing w:line="360" w:lineRule="auto"/>
        <w:jc w:val="center"/>
        <w:rPr>
          <w:color w:val="auto"/>
          <w:highlight w:val="none"/>
        </w:rPr>
      </w:pPr>
    </w:p>
    <w:p>
      <w:pPr>
        <w:autoSpaceDE w:val="0"/>
        <w:autoSpaceDN w:val="0"/>
        <w:adjustRightInd w:val="0"/>
        <w:snapToGrid w:val="0"/>
        <w:spacing w:line="360" w:lineRule="auto"/>
        <w:jc w:val="center"/>
        <w:rPr>
          <w:color w:val="auto"/>
          <w:highlight w:val="none"/>
        </w:rPr>
      </w:pPr>
    </w:p>
    <w:p>
      <w:pPr>
        <w:pStyle w:val="21"/>
        <w:rPr>
          <w:color w:val="auto"/>
          <w:highlight w:val="none"/>
        </w:rPr>
      </w:pPr>
    </w:p>
    <w:p>
      <w:pPr>
        <w:pStyle w:val="69"/>
        <w:rPr>
          <w:color w:val="auto"/>
          <w:highlight w:val="none"/>
        </w:rPr>
      </w:pPr>
    </w:p>
    <w:p>
      <w:pPr>
        <w:rPr>
          <w:color w:val="auto"/>
          <w:highlight w:val="none"/>
        </w:rPr>
      </w:pPr>
    </w:p>
    <w:p>
      <w:pPr>
        <w:autoSpaceDE w:val="0"/>
        <w:autoSpaceDN w:val="0"/>
        <w:adjustRightInd w:val="0"/>
        <w:snapToGrid w:val="0"/>
        <w:spacing w:line="360" w:lineRule="auto"/>
        <w:jc w:val="left"/>
        <w:rPr>
          <w:rFonts w:hint="eastAsia" w:ascii="宋体" w:hAnsi="宋体" w:cs="MingLiU"/>
          <w:color w:val="auto"/>
          <w:kern w:val="0"/>
          <w:sz w:val="20"/>
          <w:szCs w:val="20"/>
          <w:highlight w:val="none"/>
        </w:rPr>
      </w:pPr>
    </w:p>
    <w:p>
      <w:pPr>
        <w:rPr>
          <w:rFonts w:hint="eastAsia" w:ascii="宋体" w:hAnsi="宋体" w:cs="MingLiU"/>
          <w:color w:val="auto"/>
          <w:kern w:val="0"/>
          <w:sz w:val="20"/>
          <w:szCs w:val="20"/>
          <w:highlight w:val="none"/>
        </w:rPr>
      </w:pPr>
    </w:p>
    <w:p>
      <w:pPr>
        <w:pStyle w:val="5"/>
        <w:rPr>
          <w:rFonts w:hint="eastAsia" w:ascii="宋体" w:hAnsi="宋体"/>
          <w:color w:val="auto"/>
          <w:sz w:val="20"/>
          <w:szCs w:val="20"/>
          <w:highlight w:val="none"/>
        </w:rPr>
      </w:pPr>
    </w:p>
    <w:p>
      <w:pPr>
        <w:rPr>
          <w:rFonts w:hint="eastAsia"/>
          <w:color w:val="auto"/>
          <w:highlight w:val="none"/>
        </w:rPr>
      </w:pPr>
    </w:p>
    <w:p>
      <w:pPr>
        <w:rPr>
          <w:rFonts w:hint="eastAsia"/>
          <w:color w:val="auto"/>
          <w:highlight w:val="none"/>
        </w:rPr>
      </w:pPr>
    </w:p>
    <w:p>
      <w:pPr>
        <w:tabs>
          <w:tab w:val="left" w:pos="6219"/>
        </w:tabs>
        <w:autoSpaceDE w:val="0"/>
        <w:autoSpaceDN w:val="0"/>
        <w:adjustRightInd w:val="0"/>
        <w:snapToGrid w:val="0"/>
        <w:spacing w:line="360" w:lineRule="auto"/>
        <w:ind w:firstLine="714" w:firstLineChars="300"/>
        <w:rPr>
          <w:rFonts w:hint="eastAsia" w:ascii="宋体" w:hAnsi="宋体" w:cs="MingLiU"/>
          <w:b/>
          <w:color w:val="auto"/>
          <w:w w:val="99"/>
          <w:kern w:val="0"/>
          <w:sz w:val="24"/>
          <w:highlight w:val="none"/>
        </w:rPr>
      </w:pPr>
      <w:r>
        <w:rPr>
          <w:rFonts w:hint="eastAsia" w:ascii="宋体" w:hAnsi="宋体" w:cs="MingLiU"/>
          <w:b/>
          <w:color w:val="auto"/>
          <w:w w:val="99"/>
          <w:kern w:val="0"/>
          <w:sz w:val="24"/>
          <w:highlight w:val="none"/>
        </w:rPr>
        <w:t>比    选　 人：</w:t>
      </w:r>
      <w:r>
        <w:rPr>
          <w:rFonts w:hint="eastAsia" w:ascii="宋体" w:hAnsi="宋体"/>
          <w:b/>
          <w:color w:val="auto"/>
          <w:kern w:val="0"/>
          <w:sz w:val="24"/>
          <w:highlight w:val="none"/>
          <w:u w:val="single"/>
          <w:lang w:eastAsia="zh-CN"/>
        </w:rPr>
        <w:t>重庆山水城文化旅游发展有限公司</w:t>
      </w:r>
      <w:r>
        <w:rPr>
          <w:rFonts w:hint="eastAsia" w:ascii="宋体" w:hAnsi="宋体"/>
          <w:b/>
          <w:color w:val="auto"/>
          <w:kern w:val="0"/>
          <w:sz w:val="24"/>
          <w:highlight w:val="none"/>
          <w:u w:val="single"/>
        </w:rPr>
        <w:t xml:space="preserve"> </w:t>
      </w:r>
      <w:r>
        <w:rPr>
          <w:rFonts w:ascii="宋体" w:hAnsi="宋体"/>
          <w:b/>
          <w:color w:val="auto"/>
          <w:kern w:val="0"/>
          <w:sz w:val="24"/>
          <w:highlight w:val="none"/>
          <w:u w:val="single"/>
        </w:rPr>
        <w:t xml:space="preserve"> </w:t>
      </w:r>
      <w:r>
        <w:rPr>
          <w:rFonts w:hint="eastAsia" w:ascii="宋体" w:hAnsi="宋体" w:cs="MingLiU"/>
          <w:b/>
          <w:color w:val="auto"/>
          <w:w w:val="99"/>
          <w:kern w:val="0"/>
          <w:sz w:val="24"/>
          <w:highlight w:val="none"/>
        </w:rPr>
        <w:t>（盖单位公章）</w:t>
      </w:r>
    </w:p>
    <w:p>
      <w:pPr>
        <w:tabs>
          <w:tab w:val="left" w:pos="6252"/>
        </w:tabs>
        <w:autoSpaceDE w:val="0"/>
        <w:autoSpaceDN w:val="0"/>
        <w:adjustRightInd w:val="0"/>
        <w:snapToGrid w:val="0"/>
        <w:spacing w:line="360" w:lineRule="auto"/>
        <w:rPr>
          <w:rFonts w:hint="eastAsia" w:ascii="宋体" w:hAnsi="宋体" w:cs="MingLiU"/>
          <w:b/>
          <w:color w:val="auto"/>
          <w:spacing w:val="8"/>
          <w:kern w:val="0"/>
          <w:sz w:val="24"/>
          <w:highlight w:val="none"/>
        </w:rPr>
      </w:pPr>
    </w:p>
    <w:p>
      <w:pPr>
        <w:spacing w:line="360" w:lineRule="auto"/>
        <w:rPr>
          <w:rFonts w:hint="eastAsia" w:ascii="宋体" w:hAnsi="宋体" w:cs="MingLiU"/>
          <w:b/>
          <w:color w:val="auto"/>
          <w:spacing w:val="8"/>
          <w:kern w:val="0"/>
          <w:sz w:val="28"/>
          <w:szCs w:val="28"/>
          <w:highlight w:val="none"/>
        </w:rPr>
      </w:pPr>
    </w:p>
    <w:p>
      <w:pPr>
        <w:tabs>
          <w:tab w:val="left" w:pos="3200"/>
          <w:tab w:val="left" w:pos="4320"/>
          <w:tab w:val="left" w:pos="5420"/>
        </w:tabs>
        <w:autoSpaceDE w:val="0"/>
        <w:autoSpaceDN w:val="0"/>
        <w:adjustRightInd w:val="0"/>
        <w:snapToGrid w:val="0"/>
        <w:spacing w:line="360" w:lineRule="auto"/>
        <w:jc w:val="center"/>
        <w:rPr>
          <w:rFonts w:ascii="宋体" w:hAnsi="宋体" w:cs="MingLiU"/>
          <w:b/>
          <w:color w:val="auto"/>
          <w:w w:val="99"/>
          <w:kern w:val="0"/>
          <w:sz w:val="28"/>
          <w:szCs w:val="28"/>
          <w:highlight w:val="none"/>
        </w:rPr>
      </w:pPr>
    </w:p>
    <w:p>
      <w:pPr>
        <w:tabs>
          <w:tab w:val="left" w:pos="3200"/>
          <w:tab w:val="left" w:pos="4320"/>
          <w:tab w:val="left" w:pos="5420"/>
        </w:tabs>
        <w:autoSpaceDE w:val="0"/>
        <w:autoSpaceDN w:val="0"/>
        <w:adjustRightInd w:val="0"/>
        <w:snapToGrid w:val="0"/>
        <w:spacing w:line="360" w:lineRule="auto"/>
        <w:jc w:val="center"/>
        <w:rPr>
          <w:rFonts w:ascii="宋体" w:hAnsi="宋体" w:cs="MingLiU"/>
          <w:b/>
          <w:color w:val="auto"/>
          <w:w w:val="99"/>
          <w:kern w:val="0"/>
          <w:sz w:val="28"/>
          <w:szCs w:val="28"/>
          <w:highlight w:val="none"/>
        </w:rPr>
      </w:pPr>
    </w:p>
    <w:p>
      <w:pPr>
        <w:tabs>
          <w:tab w:val="left" w:pos="3200"/>
          <w:tab w:val="left" w:pos="4320"/>
          <w:tab w:val="left" w:pos="5420"/>
        </w:tabs>
        <w:autoSpaceDE w:val="0"/>
        <w:autoSpaceDN w:val="0"/>
        <w:adjustRightInd w:val="0"/>
        <w:snapToGrid w:val="0"/>
        <w:spacing w:line="360" w:lineRule="auto"/>
        <w:jc w:val="center"/>
        <w:rPr>
          <w:rFonts w:hint="eastAsia" w:ascii="宋体" w:hAnsi="宋体" w:cs="MingLiU"/>
          <w:b/>
          <w:color w:val="auto"/>
          <w:w w:val="99"/>
          <w:kern w:val="0"/>
          <w:sz w:val="28"/>
          <w:szCs w:val="28"/>
          <w:highlight w:val="none"/>
        </w:rPr>
      </w:pPr>
      <w:r>
        <w:rPr>
          <w:rFonts w:hint="eastAsia" w:ascii="宋体" w:hAnsi="宋体" w:cs="MingLiU"/>
          <w:b/>
          <w:color w:val="auto"/>
          <w:w w:val="99"/>
          <w:kern w:val="0"/>
          <w:sz w:val="28"/>
          <w:szCs w:val="28"/>
          <w:highlight w:val="none"/>
        </w:rPr>
        <w:t>二○二</w:t>
      </w:r>
      <w:r>
        <w:rPr>
          <w:rFonts w:hint="eastAsia" w:ascii="宋体" w:hAnsi="宋体" w:cs="MingLiU"/>
          <w:b/>
          <w:color w:val="auto"/>
          <w:w w:val="99"/>
          <w:kern w:val="0"/>
          <w:sz w:val="28"/>
          <w:szCs w:val="28"/>
          <w:highlight w:val="none"/>
          <w:lang w:val="en-US" w:eastAsia="zh-CN"/>
        </w:rPr>
        <w:t>五</w:t>
      </w:r>
      <w:r>
        <w:rPr>
          <w:rFonts w:hint="eastAsia" w:ascii="宋体" w:hAnsi="宋体" w:cs="MingLiU"/>
          <w:b/>
          <w:color w:val="auto"/>
          <w:w w:val="99"/>
          <w:kern w:val="0"/>
          <w:sz w:val="28"/>
          <w:szCs w:val="28"/>
          <w:highlight w:val="none"/>
        </w:rPr>
        <w:t>年</w:t>
      </w:r>
      <w:r>
        <w:rPr>
          <w:rFonts w:hint="eastAsia" w:ascii="宋体" w:hAnsi="宋体" w:cs="MingLiU"/>
          <w:b/>
          <w:color w:val="auto"/>
          <w:w w:val="99"/>
          <w:kern w:val="0"/>
          <w:sz w:val="28"/>
          <w:szCs w:val="28"/>
          <w:highlight w:val="none"/>
          <w:lang w:val="en-US" w:eastAsia="zh-CN"/>
        </w:rPr>
        <w:t>十二</w:t>
      </w:r>
      <w:r>
        <w:rPr>
          <w:rFonts w:hint="eastAsia" w:ascii="宋体" w:hAnsi="宋体" w:cs="MingLiU"/>
          <w:b/>
          <w:color w:val="auto"/>
          <w:w w:val="99"/>
          <w:kern w:val="0"/>
          <w:sz w:val="28"/>
          <w:szCs w:val="28"/>
          <w:highlight w:val="none"/>
        </w:rPr>
        <w:t>月</w:t>
      </w:r>
    </w:p>
    <w:p>
      <w:pPr>
        <w:jc w:val="center"/>
        <w:rPr>
          <w:rFonts w:hint="eastAsia"/>
          <w:color w:val="auto"/>
          <w:sz w:val="40"/>
          <w:szCs w:val="48"/>
          <w:highlight w:val="none"/>
        </w:rPr>
        <w:sectPr>
          <w:footerReference r:id="rId5" w:type="first"/>
          <w:headerReference r:id="rId3" w:type="default"/>
          <w:footerReference r:id="rId4" w:type="even"/>
          <w:pgSz w:w="11906" w:h="16838"/>
          <w:pgMar w:top="1134" w:right="1134" w:bottom="1134" w:left="1134" w:header="851" w:footer="992" w:gutter="0"/>
          <w:pgBorders>
            <w:top w:val="none" w:sz="0" w:space="0"/>
            <w:left w:val="none" w:sz="0" w:space="0"/>
            <w:bottom w:val="none" w:sz="0" w:space="0"/>
            <w:right w:val="none" w:sz="0" w:space="0"/>
          </w:pgBorders>
          <w:cols w:space="720" w:num="1"/>
          <w:titlePg/>
          <w:docGrid w:type="lines" w:linePitch="312" w:charSpace="0"/>
        </w:sectPr>
      </w:pPr>
      <w:bookmarkStart w:id="0" w:name="_Toc224103298"/>
      <w:bookmarkStart w:id="1" w:name="_Toc200359237"/>
      <w:bookmarkStart w:id="2" w:name="_Toc443576762"/>
      <w:bookmarkStart w:id="3" w:name="_Toc200359426"/>
    </w:p>
    <w:p>
      <w:pPr>
        <w:jc w:val="center"/>
        <w:rPr>
          <w:rFonts w:hint="eastAsia"/>
          <w:color w:val="auto"/>
          <w:highlight w:val="none"/>
        </w:rPr>
      </w:pPr>
      <w:r>
        <w:rPr>
          <w:rFonts w:hint="eastAsia"/>
          <w:color w:val="auto"/>
          <w:sz w:val="40"/>
          <w:szCs w:val="48"/>
          <w:highlight w:val="none"/>
        </w:rPr>
        <w:t>目  录</w:t>
      </w:r>
    </w:p>
    <w:p>
      <w:pPr>
        <w:pStyle w:val="37"/>
        <w:tabs>
          <w:tab w:val="right" w:leader="dot" w:pos="9638"/>
        </w:tabs>
        <w:rPr>
          <w:color w:val="auto"/>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color w:val="auto"/>
          <w:highlight w:val="none"/>
        </w:rPr>
        <w:fldChar w:fldCharType="begin"/>
      </w:r>
      <w:r>
        <w:rPr>
          <w:color w:val="auto"/>
          <w:highlight w:val="none"/>
        </w:rPr>
        <w:instrText xml:space="preserve"> HYPERLINK \l _Toc21058 </w:instrText>
      </w:r>
      <w:r>
        <w:rPr>
          <w:color w:val="auto"/>
          <w:highlight w:val="none"/>
        </w:rPr>
        <w:fldChar w:fldCharType="separate"/>
      </w:r>
      <w:r>
        <w:rPr>
          <w:rFonts w:hint="default" w:ascii="黑体"/>
          <w:color w:val="auto"/>
          <w:highlight w:val="none"/>
          <w:lang w:eastAsia="zh-CN"/>
        </w:rPr>
        <w:t xml:space="preserve">第一章 </w:t>
      </w:r>
      <w:r>
        <w:rPr>
          <w:rFonts w:hint="eastAsia"/>
          <w:color w:val="auto"/>
          <w:highlight w:val="none"/>
          <w:lang w:val="en-US" w:eastAsia="zh-CN"/>
        </w:rPr>
        <w:t>比选公告</w:t>
      </w:r>
      <w:r>
        <w:rPr>
          <w:color w:val="auto"/>
          <w:highlight w:val="none"/>
        </w:rPr>
        <w:tab/>
      </w:r>
      <w:r>
        <w:rPr>
          <w:color w:val="auto"/>
          <w:highlight w:val="none"/>
        </w:rPr>
        <w:fldChar w:fldCharType="begin"/>
      </w:r>
      <w:r>
        <w:rPr>
          <w:color w:val="auto"/>
          <w:highlight w:val="none"/>
        </w:rPr>
        <w:instrText xml:space="preserve"> PAGEREF _Toc21058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37"/>
        <w:tabs>
          <w:tab w:val="right" w:leader="dot" w:pos="9638"/>
        </w:tabs>
        <w:rPr>
          <w:color w:val="auto"/>
          <w:highlight w:val="none"/>
        </w:rPr>
      </w:pPr>
      <w:r>
        <w:rPr>
          <w:color w:val="auto"/>
          <w:highlight w:val="none"/>
        </w:rPr>
        <w:fldChar w:fldCharType="begin"/>
      </w:r>
      <w:r>
        <w:rPr>
          <w:color w:val="auto"/>
          <w:highlight w:val="none"/>
        </w:rPr>
        <w:instrText xml:space="preserve"> HYPERLINK \l _Toc11647 </w:instrText>
      </w:r>
      <w:r>
        <w:rPr>
          <w:color w:val="auto"/>
          <w:highlight w:val="none"/>
        </w:rPr>
        <w:fldChar w:fldCharType="separate"/>
      </w:r>
      <w:r>
        <w:rPr>
          <w:rFonts w:hint="default" w:ascii="黑体"/>
          <w:color w:val="auto"/>
          <w:highlight w:val="none"/>
        </w:rPr>
        <w:t xml:space="preserve">第二章 </w:t>
      </w:r>
      <w:r>
        <w:rPr>
          <w:rFonts w:hint="eastAsia"/>
          <w:color w:val="auto"/>
          <w:highlight w:val="none"/>
          <w:lang w:eastAsia="zh-CN"/>
        </w:rPr>
        <w:t>参选</w:t>
      </w:r>
      <w:r>
        <w:rPr>
          <w:rFonts w:hint="eastAsia"/>
          <w:color w:val="auto"/>
          <w:highlight w:val="none"/>
        </w:rPr>
        <w:t>人须知</w:t>
      </w:r>
      <w:r>
        <w:rPr>
          <w:color w:val="auto"/>
          <w:highlight w:val="none"/>
        </w:rPr>
        <w:tab/>
      </w:r>
      <w:r>
        <w:rPr>
          <w:color w:val="auto"/>
          <w:highlight w:val="none"/>
        </w:rPr>
        <w:fldChar w:fldCharType="begin"/>
      </w:r>
      <w:r>
        <w:rPr>
          <w:color w:val="auto"/>
          <w:highlight w:val="none"/>
        </w:rPr>
        <w:instrText xml:space="preserve"> PAGEREF _Toc11647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7"/>
        <w:tabs>
          <w:tab w:val="right" w:leader="dot" w:pos="9638"/>
        </w:tabs>
        <w:rPr>
          <w:rFonts w:hint="eastAsia" w:eastAsia="仿宋_GB2312"/>
          <w:color w:val="auto"/>
          <w:highlight w:val="none"/>
          <w:lang w:val="en-US" w:eastAsia="zh-CN"/>
        </w:rPr>
      </w:pPr>
      <w:r>
        <w:rPr>
          <w:color w:val="auto"/>
          <w:highlight w:val="none"/>
        </w:rPr>
        <w:fldChar w:fldCharType="begin"/>
      </w:r>
      <w:r>
        <w:rPr>
          <w:color w:val="auto"/>
          <w:highlight w:val="none"/>
        </w:rPr>
        <w:instrText xml:space="preserve"> HYPERLINK \l _Toc15384 </w:instrText>
      </w:r>
      <w:r>
        <w:rPr>
          <w:color w:val="auto"/>
          <w:highlight w:val="none"/>
        </w:rPr>
        <w:fldChar w:fldCharType="separate"/>
      </w:r>
      <w:r>
        <w:rPr>
          <w:rFonts w:hint="default" w:ascii="黑体"/>
          <w:color w:val="auto"/>
          <w:highlight w:val="none"/>
        </w:rPr>
        <w:t xml:space="preserve">第三章 </w:t>
      </w:r>
      <w:r>
        <w:rPr>
          <w:rFonts w:hint="eastAsia"/>
          <w:color w:val="auto"/>
          <w:highlight w:val="none"/>
        </w:rPr>
        <w:t>评选办法</w:t>
      </w:r>
      <w:r>
        <w:rPr>
          <w:color w:val="auto"/>
          <w:highlight w:val="none"/>
        </w:rPr>
        <w:tab/>
      </w:r>
      <w:r>
        <w:rPr>
          <w:rFonts w:hint="eastAsia"/>
          <w:color w:val="auto"/>
          <w:highlight w:val="none"/>
          <w:lang w:val="en-US" w:eastAsia="zh-CN"/>
        </w:rPr>
        <w:t>9</w:t>
      </w:r>
      <w:r>
        <w:rPr>
          <w:color w:val="auto"/>
          <w:highlight w:val="none"/>
        </w:rPr>
        <w:fldChar w:fldCharType="end"/>
      </w:r>
    </w:p>
    <w:p>
      <w:pPr>
        <w:pStyle w:val="37"/>
        <w:tabs>
          <w:tab w:val="right" w:leader="dot" w:pos="9638"/>
        </w:tabs>
        <w:rPr>
          <w:rFonts w:hint="default" w:eastAsia="仿宋_GB2312"/>
          <w:color w:val="auto"/>
          <w:highlight w:val="none"/>
          <w:lang w:val="en-US" w:eastAsia="zh-CN"/>
        </w:rPr>
      </w:pPr>
      <w:r>
        <w:rPr>
          <w:color w:val="auto"/>
          <w:highlight w:val="none"/>
        </w:rPr>
        <w:fldChar w:fldCharType="begin"/>
      </w:r>
      <w:r>
        <w:rPr>
          <w:color w:val="auto"/>
          <w:highlight w:val="none"/>
        </w:rPr>
        <w:instrText xml:space="preserve"> HYPERLINK \l _Toc20492 </w:instrText>
      </w:r>
      <w:r>
        <w:rPr>
          <w:color w:val="auto"/>
          <w:highlight w:val="none"/>
        </w:rPr>
        <w:fldChar w:fldCharType="separate"/>
      </w:r>
      <w:r>
        <w:rPr>
          <w:rFonts w:hint="default" w:ascii="黑体"/>
          <w:color w:val="auto"/>
          <w:highlight w:val="none"/>
        </w:rPr>
        <w:t xml:space="preserve">第四章 </w:t>
      </w:r>
      <w:r>
        <w:rPr>
          <w:rFonts w:hint="eastAsia"/>
          <w:color w:val="auto"/>
          <w:highlight w:val="none"/>
        </w:rPr>
        <w:t>合同条款及格式</w:t>
      </w:r>
      <w:r>
        <w:rPr>
          <w:color w:val="auto"/>
          <w:highlight w:val="none"/>
        </w:rPr>
        <w:tab/>
      </w:r>
      <w:r>
        <w:rPr>
          <w:color w:val="auto"/>
          <w:highlight w:val="none"/>
        </w:rPr>
        <w:fldChar w:fldCharType="end"/>
      </w:r>
      <w:r>
        <w:rPr>
          <w:rFonts w:hint="eastAsia"/>
          <w:color w:val="auto"/>
          <w:highlight w:val="none"/>
          <w:lang w:val="en-US" w:eastAsia="zh-CN"/>
        </w:rPr>
        <w:t>15</w:t>
      </w:r>
    </w:p>
    <w:p>
      <w:pPr>
        <w:pStyle w:val="37"/>
        <w:tabs>
          <w:tab w:val="right" w:leader="dot" w:pos="9638"/>
        </w:tabs>
        <w:rPr>
          <w:rFonts w:hint="eastAsia" w:eastAsia="仿宋_GB2312"/>
          <w:color w:val="auto"/>
          <w:highlight w:val="none"/>
          <w:lang w:val="en-US" w:eastAsia="zh-CN"/>
        </w:rPr>
      </w:pPr>
      <w:r>
        <w:rPr>
          <w:color w:val="auto"/>
          <w:highlight w:val="none"/>
        </w:rPr>
        <w:fldChar w:fldCharType="begin"/>
      </w:r>
      <w:r>
        <w:rPr>
          <w:color w:val="auto"/>
          <w:highlight w:val="none"/>
        </w:rPr>
        <w:instrText xml:space="preserve"> HYPERLINK \l _Toc13029 </w:instrText>
      </w:r>
      <w:r>
        <w:rPr>
          <w:color w:val="auto"/>
          <w:highlight w:val="none"/>
        </w:rPr>
        <w:fldChar w:fldCharType="separate"/>
      </w:r>
      <w:r>
        <w:rPr>
          <w:rFonts w:hint="default" w:ascii="黑体"/>
          <w:color w:val="auto"/>
          <w:highlight w:val="none"/>
        </w:rPr>
        <w:t xml:space="preserve">第五章 </w:t>
      </w:r>
      <w:r>
        <w:rPr>
          <w:rFonts w:hint="eastAsia"/>
          <w:color w:val="auto"/>
          <w:highlight w:val="none"/>
          <w:lang w:val="en-US" w:eastAsia="zh-CN"/>
        </w:rPr>
        <w:t>执行清单及方案</w:t>
      </w:r>
      <w:r>
        <w:rPr>
          <w:color w:val="auto"/>
          <w:highlight w:val="none"/>
        </w:rPr>
        <w:tab/>
      </w:r>
      <w:r>
        <w:rPr>
          <w:rFonts w:hint="eastAsia"/>
          <w:color w:val="auto"/>
          <w:highlight w:val="none"/>
          <w:lang w:val="en-US" w:eastAsia="zh-CN"/>
        </w:rPr>
        <w:t>2</w:t>
      </w:r>
      <w:r>
        <w:rPr>
          <w:color w:val="auto"/>
          <w:highlight w:val="none"/>
        </w:rPr>
        <w:fldChar w:fldCharType="end"/>
      </w:r>
      <w:r>
        <w:rPr>
          <w:rFonts w:hint="eastAsia"/>
          <w:color w:val="auto"/>
          <w:highlight w:val="none"/>
          <w:lang w:val="en-US" w:eastAsia="zh-CN"/>
        </w:rPr>
        <w:t>0</w:t>
      </w:r>
    </w:p>
    <w:p>
      <w:pPr>
        <w:pStyle w:val="37"/>
        <w:tabs>
          <w:tab w:val="right" w:leader="dot" w:pos="9638"/>
        </w:tabs>
        <w:rPr>
          <w:rFonts w:hint="eastAsia" w:eastAsia="仿宋_GB2312"/>
          <w:color w:val="auto"/>
          <w:highlight w:val="none"/>
          <w:lang w:val="en-US" w:eastAsia="zh-CN"/>
        </w:rPr>
      </w:pPr>
      <w:r>
        <w:rPr>
          <w:color w:val="auto"/>
          <w:highlight w:val="none"/>
        </w:rPr>
        <w:fldChar w:fldCharType="begin"/>
      </w:r>
      <w:r>
        <w:rPr>
          <w:color w:val="auto"/>
          <w:highlight w:val="none"/>
        </w:rPr>
        <w:instrText xml:space="preserve"> HYPERLINK \l _Toc21615 </w:instrText>
      </w:r>
      <w:r>
        <w:rPr>
          <w:color w:val="auto"/>
          <w:highlight w:val="none"/>
        </w:rPr>
        <w:fldChar w:fldCharType="separate"/>
      </w:r>
      <w:r>
        <w:rPr>
          <w:rFonts w:hint="default" w:ascii="黑体"/>
          <w:color w:val="auto"/>
          <w:highlight w:val="none"/>
        </w:rPr>
        <w:t xml:space="preserve">第六章 </w:t>
      </w:r>
      <w:r>
        <w:rPr>
          <w:rFonts w:hint="eastAsia"/>
          <w:color w:val="auto"/>
          <w:highlight w:val="none"/>
          <w:lang w:eastAsia="zh-CN"/>
        </w:rPr>
        <w:t>参选</w:t>
      </w:r>
      <w:r>
        <w:rPr>
          <w:rFonts w:hint="eastAsia"/>
          <w:color w:val="auto"/>
          <w:highlight w:val="none"/>
        </w:rPr>
        <w:t>文件格式</w:t>
      </w:r>
      <w:r>
        <w:rPr>
          <w:color w:val="auto"/>
          <w:highlight w:val="none"/>
        </w:rPr>
        <w:tab/>
      </w:r>
      <w:r>
        <w:rPr>
          <w:rFonts w:hint="eastAsia"/>
          <w:color w:val="auto"/>
          <w:highlight w:val="none"/>
          <w:lang w:val="en-US" w:eastAsia="zh-CN"/>
        </w:rPr>
        <w:t>2</w:t>
      </w:r>
      <w:r>
        <w:rPr>
          <w:color w:val="auto"/>
          <w:highlight w:val="none"/>
        </w:rPr>
        <w:fldChar w:fldCharType="end"/>
      </w:r>
      <w:r>
        <w:rPr>
          <w:rFonts w:hint="eastAsia"/>
          <w:color w:val="auto"/>
          <w:highlight w:val="none"/>
          <w:lang w:val="en-US" w:eastAsia="zh-CN"/>
        </w:rPr>
        <w:t>1</w:t>
      </w:r>
    </w:p>
    <w:p>
      <w:pPr>
        <w:pStyle w:val="4"/>
        <w:spacing w:line="240" w:lineRule="atLeast"/>
        <w:jc w:val="center"/>
        <w:rPr>
          <w:color w:val="auto"/>
          <w:highlight w:val="none"/>
        </w:rPr>
      </w:pPr>
      <w:r>
        <w:rPr>
          <w:color w:val="auto"/>
          <w:highlight w:val="none"/>
        </w:rPr>
        <w:fldChar w:fldCharType="end"/>
      </w:r>
    </w:p>
    <w:p>
      <w:pPr>
        <w:pStyle w:val="21"/>
        <w:jc w:val="center"/>
        <w:rPr>
          <w:color w:val="auto"/>
          <w:highlight w:val="none"/>
        </w:rPr>
      </w:pPr>
    </w:p>
    <w:bookmarkEnd w:id="0"/>
    <w:bookmarkEnd w:id="1"/>
    <w:bookmarkEnd w:id="2"/>
    <w:bookmarkEnd w:id="3"/>
    <w:p>
      <w:pPr>
        <w:pStyle w:val="4"/>
        <w:spacing w:line="240" w:lineRule="atLeast"/>
        <w:jc w:val="center"/>
        <w:rPr>
          <w:rFonts w:hint="eastAsia" w:ascii="宋体" w:hAnsi="宋体" w:cs="MingLiU"/>
          <w:b/>
          <w:bCs/>
          <w:color w:val="auto"/>
          <w:w w:val="99"/>
          <w:kern w:val="0"/>
          <w:sz w:val="36"/>
          <w:szCs w:val="36"/>
          <w:highlight w:val="none"/>
          <w:lang w:eastAsia="zh-CN"/>
        </w:rPr>
        <w:sectPr>
          <w:footerReference r:id="rId7" w:type="first"/>
          <w:footerReference r:id="rId6" w:type="default"/>
          <w:pgSz w:w="11906" w:h="16838"/>
          <w:pgMar w:top="1134" w:right="1134" w:bottom="1134" w:left="1134"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bookmarkStart w:id="4" w:name="_Hlk134264953"/>
    </w:p>
    <w:p>
      <w:pPr>
        <w:pStyle w:val="3"/>
        <w:bidi w:val="0"/>
        <w:ind w:left="5100" w:leftChars="0" w:firstLineChars="0"/>
        <w:jc w:val="left"/>
        <w:rPr>
          <w:rFonts w:hint="eastAsia"/>
          <w:color w:val="auto"/>
          <w:highlight w:val="none"/>
          <w:lang w:eastAsia="zh-CN"/>
        </w:rPr>
      </w:pPr>
      <w:bookmarkStart w:id="5" w:name="_Toc21058"/>
      <w:bookmarkStart w:id="6" w:name="OLE_LINK2"/>
      <w:r>
        <w:rPr>
          <w:rFonts w:hint="eastAsia"/>
          <w:color w:val="auto"/>
          <w:highlight w:val="none"/>
          <w:lang w:val="en-US" w:eastAsia="zh-CN"/>
        </w:rPr>
        <w:t>比选公告</w:t>
      </w:r>
      <w:bookmarkEnd w:id="5"/>
    </w:p>
    <w:p>
      <w:pPr>
        <w:pStyle w:val="5"/>
        <w:spacing w:before="0" w:line="360" w:lineRule="auto"/>
        <w:rPr>
          <w:rFonts w:hint="eastAsia" w:ascii="宋体" w:hAnsi="宋体" w:eastAsia="宋体"/>
          <w:snapToGrid w:val="0"/>
          <w:color w:val="auto"/>
          <w:sz w:val="22"/>
          <w:szCs w:val="22"/>
          <w:highlight w:val="none"/>
        </w:rPr>
      </w:pPr>
      <w:bookmarkStart w:id="7" w:name="_Toc443576770"/>
      <w:bookmarkStart w:id="8" w:name="_Toc224103315"/>
      <w:r>
        <w:rPr>
          <w:rFonts w:hint="eastAsia" w:ascii="宋体" w:hAnsi="宋体" w:eastAsia="宋体"/>
          <w:snapToGrid w:val="0"/>
          <w:color w:val="auto"/>
          <w:sz w:val="22"/>
          <w:szCs w:val="22"/>
          <w:highlight w:val="none"/>
        </w:rPr>
        <w:t xml:space="preserve">1．比选条件 </w:t>
      </w:r>
    </w:p>
    <w:p>
      <w:pPr>
        <w:pStyle w:val="5"/>
        <w:tabs>
          <w:tab w:val="right" w:pos="9970"/>
        </w:tabs>
        <w:spacing w:before="0" w:line="360" w:lineRule="auto"/>
        <w:ind w:firstLine="400" w:firstLineChars="200"/>
        <w:rPr>
          <w:rFonts w:ascii="宋体" w:hAnsi="宋体" w:eastAsia="宋体" w:cs="宋体"/>
          <w:b w:val="0"/>
          <w:bCs/>
          <w:color w:val="auto"/>
          <w:sz w:val="20"/>
          <w:szCs w:val="20"/>
          <w:highlight w:val="none"/>
        </w:rPr>
      </w:pPr>
      <w:bookmarkStart w:id="9" w:name="_Toc214434226"/>
      <w:bookmarkStart w:id="10" w:name="_Toc443576764"/>
      <w:r>
        <w:rPr>
          <w:rFonts w:hint="eastAsia" w:ascii="宋体" w:hAnsi="宋体" w:eastAsia="宋体" w:cs="宋体"/>
          <w:b w:val="0"/>
          <w:bCs/>
          <w:color w:val="auto"/>
          <w:sz w:val="20"/>
          <w:szCs w:val="20"/>
          <w:highlight w:val="none"/>
        </w:rPr>
        <w:t>本比选项目</w:t>
      </w:r>
      <w:r>
        <w:rPr>
          <w:rFonts w:hint="eastAsia" w:ascii="宋体" w:hAnsi="宋体" w:eastAsia="宋体" w:cs="宋体"/>
          <w:b w:val="0"/>
          <w:bCs/>
          <w:color w:val="auto"/>
          <w:sz w:val="20"/>
          <w:szCs w:val="20"/>
          <w:highlight w:val="none"/>
          <w:u w:val="single"/>
          <w:lang w:eastAsia="zh-CN"/>
        </w:rPr>
        <w:t>重庆国际光影文化旅游季-重庆市儿童公园光影艺术邀请展</w:t>
      </w:r>
      <w:r>
        <w:rPr>
          <w:rFonts w:hint="eastAsia" w:ascii="宋体" w:hAnsi="宋体" w:eastAsia="宋体" w:cs="宋体"/>
          <w:b w:val="0"/>
          <w:bCs/>
          <w:color w:val="auto"/>
          <w:sz w:val="20"/>
          <w:szCs w:val="20"/>
          <w:highlight w:val="none"/>
          <w:u w:val="single"/>
          <w:lang w:val="en-US" w:eastAsia="zh-CN"/>
        </w:rPr>
        <w:t>执行单位</w:t>
      </w:r>
      <w:r>
        <w:rPr>
          <w:rFonts w:hint="eastAsia" w:ascii="宋体" w:hAnsi="宋体" w:eastAsia="宋体" w:cs="宋体"/>
          <w:b w:val="0"/>
          <w:bCs/>
          <w:color w:val="auto"/>
          <w:sz w:val="20"/>
          <w:szCs w:val="20"/>
          <w:highlight w:val="none"/>
          <w:u w:val="single"/>
          <w:lang w:eastAsia="zh-CN"/>
        </w:rPr>
        <w:t>采购</w:t>
      </w:r>
      <w:r>
        <w:rPr>
          <w:rFonts w:hint="eastAsia" w:ascii="宋体" w:hAnsi="宋体" w:eastAsia="宋体" w:cs="宋体"/>
          <w:b w:val="0"/>
          <w:bCs/>
          <w:color w:val="auto"/>
          <w:sz w:val="20"/>
          <w:szCs w:val="20"/>
          <w:highlight w:val="none"/>
          <w:u w:val="none"/>
          <w:lang w:eastAsia="zh-CN"/>
        </w:rPr>
        <w:t>，</w:t>
      </w:r>
      <w:r>
        <w:rPr>
          <w:rFonts w:hint="eastAsia" w:ascii="宋体" w:hAnsi="宋体" w:eastAsia="宋体" w:cs="宋体"/>
          <w:b w:val="0"/>
          <w:bCs/>
          <w:color w:val="auto"/>
          <w:sz w:val="20"/>
          <w:szCs w:val="20"/>
          <w:highlight w:val="none"/>
        </w:rPr>
        <w:t>项目业主为</w:t>
      </w:r>
      <w:r>
        <w:rPr>
          <w:rFonts w:hint="eastAsia" w:ascii="宋体" w:hAnsi="宋体" w:eastAsia="宋体" w:cs="宋体"/>
          <w:b w:val="0"/>
          <w:bCs/>
          <w:color w:val="auto"/>
          <w:sz w:val="20"/>
          <w:szCs w:val="20"/>
          <w:highlight w:val="none"/>
          <w:u w:val="single"/>
          <w:lang w:eastAsia="zh-CN"/>
        </w:rPr>
        <w:t>重庆山水城文化旅游发展有限公司</w:t>
      </w:r>
      <w:r>
        <w:rPr>
          <w:rFonts w:hint="eastAsia" w:ascii="宋体" w:hAnsi="宋体" w:eastAsia="宋体" w:cs="宋体"/>
          <w:b w:val="0"/>
          <w:bCs/>
          <w:color w:val="auto"/>
          <w:sz w:val="20"/>
          <w:szCs w:val="20"/>
          <w:highlight w:val="none"/>
        </w:rPr>
        <w:t>，资金来源为</w:t>
      </w:r>
      <w:r>
        <w:rPr>
          <w:rFonts w:hint="eastAsia" w:ascii="宋体" w:hAnsi="宋体" w:eastAsia="宋体" w:cs="宋体"/>
          <w:b w:val="0"/>
          <w:bCs/>
          <w:color w:val="auto"/>
          <w:sz w:val="20"/>
          <w:szCs w:val="20"/>
          <w:highlight w:val="none"/>
          <w:u w:val="single"/>
          <w:lang w:val="en-US" w:eastAsia="zh-CN"/>
        </w:rPr>
        <w:t>业主自筹</w:t>
      </w:r>
      <w:r>
        <w:rPr>
          <w:rFonts w:hint="eastAsia" w:ascii="宋体" w:hAnsi="宋体" w:eastAsia="宋体" w:cs="宋体"/>
          <w:b w:val="0"/>
          <w:bCs/>
          <w:color w:val="auto"/>
          <w:sz w:val="20"/>
          <w:szCs w:val="20"/>
          <w:highlight w:val="none"/>
        </w:rPr>
        <w:t>，比选人为</w:t>
      </w:r>
      <w:r>
        <w:rPr>
          <w:rFonts w:hint="eastAsia" w:ascii="宋体" w:hAnsi="宋体" w:eastAsia="宋体" w:cs="宋体"/>
          <w:b w:val="0"/>
          <w:bCs/>
          <w:color w:val="auto"/>
          <w:sz w:val="20"/>
          <w:szCs w:val="20"/>
          <w:highlight w:val="none"/>
          <w:u w:val="single"/>
          <w:lang w:eastAsia="zh-CN"/>
        </w:rPr>
        <w:t>重庆山水城文化旅游发展有限公司</w:t>
      </w:r>
      <w:r>
        <w:rPr>
          <w:rFonts w:hint="eastAsia" w:ascii="宋体" w:hAnsi="宋体" w:eastAsia="宋体" w:cs="宋体"/>
          <w:b w:val="0"/>
          <w:bCs/>
          <w:color w:val="auto"/>
          <w:sz w:val="20"/>
          <w:szCs w:val="20"/>
          <w:highlight w:val="none"/>
          <w:u w:val="none"/>
          <w:lang w:eastAsia="zh-CN"/>
        </w:rPr>
        <w:t>，</w:t>
      </w:r>
      <w:r>
        <w:rPr>
          <w:rFonts w:hint="eastAsia" w:ascii="宋体" w:hAnsi="宋体" w:eastAsia="宋体" w:cs="宋体"/>
          <w:b w:val="0"/>
          <w:bCs/>
          <w:color w:val="auto"/>
          <w:sz w:val="20"/>
          <w:szCs w:val="20"/>
          <w:highlight w:val="none"/>
        </w:rPr>
        <w:t>本项目已具备比选条件，</w:t>
      </w:r>
      <w:r>
        <w:rPr>
          <w:rFonts w:hint="eastAsia" w:ascii="宋体" w:hAnsi="宋体" w:eastAsia="宋体" w:cs="宋体"/>
          <w:b w:val="0"/>
          <w:bCs/>
          <w:color w:val="auto"/>
          <w:sz w:val="20"/>
          <w:szCs w:val="20"/>
          <w:highlight w:val="none"/>
          <w:lang w:val="en-US" w:eastAsia="zh-CN"/>
        </w:rPr>
        <w:t>现</w:t>
      </w:r>
      <w:r>
        <w:rPr>
          <w:rFonts w:hint="eastAsia" w:ascii="宋体" w:hAnsi="宋体" w:eastAsia="宋体" w:cs="宋体"/>
          <w:b w:val="0"/>
          <w:bCs/>
          <w:color w:val="auto"/>
          <w:sz w:val="20"/>
          <w:szCs w:val="20"/>
          <w:highlight w:val="none"/>
        </w:rPr>
        <w:t>对该</w:t>
      </w:r>
      <w:r>
        <w:rPr>
          <w:rFonts w:hint="eastAsia" w:ascii="宋体" w:hAnsi="宋体" w:eastAsia="宋体" w:cs="宋体"/>
          <w:b w:val="0"/>
          <w:bCs/>
          <w:color w:val="auto"/>
          <w:sz w:val="20"/>
          <w:szCs w:val="20"/>
          <w:highlight w:val="none"/>
          <w:lang w:val="en-US" w:eastAsia="zh-CN"/>
        </w:rPr>
        <w:t>展览执行单位</w:t>
      </w:r>
      <w:r>
        <w:rPr>
          <w:rFonts w:hint="eastAsia" w:ascii="宋体" w:hAnsi="宋体" w:eastAsia="宋体" w:cs="宋体"/>
          <w:b w:val="0"/>
          <w:bCs/>
          <w:color w:val="auto"/>
          <w:sz w:val="20"/>
          <w:szCs w:val="20"/>
          <w:highlight w:val="none"/>
        </w:rPr>
        <w:t>进行</w:t>
      </w:r>
      <w:r>
        <w:rPr>
          <w:rFonts w:hint="eastAsia" w:ascii="宋体" w:hAnsi="宋体" w:eastAsia="宋体" w:cs="宋体"/>
          <w:b w:val="0"/>
          <w:bCs/>
          <w:color w:val="auto"/>
          <w:sz w:val="20"/>
          <w:szCs w:val="20"/>
          <w:highlight w:val="none"/>
          <w:lang w:eastAsia="zh-CN"/>
        </w:rPr>
        <w:t>公开</w:t>
      </w:r>
      <w:r>
        <w:rPr>
          <w:rFonts w:hint="eastAsia" w:ascii="宋体" w:hAnsi="宋体" w:eastAsia="宋体" w:cs="宋体"/>
          <w:b w:val="0"/>
          <w:bCs/>
          <w:color w:val="auto"/>
          <w:sz w:val="20"/>
          <w:szCs w:val="20"/>
          <w:highlight w:val="none"/>
        </w:rPr>
        <w:t>比选。</w:t>
      </w:r>
    </w:p>
    <w:p>
      <w:pPr>
        <w:pStyle w:val="5"/>
        <w:spacing w:before="0" w:line="360" w:lineRule="auto"/>
        <w:rPr>
          <w:rFonts w:hint="eastAsia" w:ascii="宋体" w:hAnsi="宋体" w:cs="宋体"/>
          <w:b w:val="0"/>
          <w:bCs/>
          <w:color w:val="auto"/>
          <w:sz w:val="22"/>
          <w:szCs w:val="20"/>
          <w:highlight w:val="none"/>
        </w:rPr>
      </w:pPr>
      <w:r>
        <w:rPr>
          <w:rFonts w:hint="eastAsia" w:ascii="宋体" w:hAnsi="宋体" w:eastAsia="宋体"/>
          <w:snapToGrid w:val="0"/>
          <w:color w:val="auto"/>
          <w:sz w:val="22"/>
          <w:szCs w:val="22"/>
          <w:highlight w:val="none"/>
        </w:rPr>
        <w:t>2．项目概况与比选范围</w:t>
      </w:r>
      <w:bookmarkEnd w:id="9"/>
      <w:bookmarkEnd w:id="10"/>
      <w:r>
        <w:rPr>
          <w:rFonts w:hint="eastAsia" w:ascii="宋体" w:hAnsi="宋体" w:eastAsia="宋体"/>
          <w:snapToGrid w:val="0"/>
          <w:color w:val="auto"/>
          <w:sz w:val="22"/>
          <w:szCs w:val="22"/>
          <w:highlight w:val="none"/>
        </w:rPr>
        <w:t xml:space="preserve"> </w:t>
      </w:r>
      <w:r>
        <w:rPr>
          <w:rFonts w:ascii="宋体" w:hAnsi="宋体" w:cs="宋体"/>
          <w:b w:val="0"/>
          <w:bCs/>
          <w:color w:val="auto"/>
          <w:sz w:val="22"/>
          <w:szCs w:val="20"/>
          <w:highlight w:val="none"/>
        </w:rPr>
        <w:tab/>
      </w:r>
    </w:p>
    <w:p>
      <w:pPr>
        <w:spacing w:line="360" w:lineRule="auto"/>
        <w:ind w:firstLine="400" w:firstLineChars="200"/>
        <w:jc w:val="left"/>
        <w:rPr>
          <w:rFonts w:hint="eastAsia" w:ascii="宋体" w:hAnsi="宋体" w:cs="宋体"/>
          <w:bCs/>
          <w:color w:val="auto"/>
          <w:kern w:val="0"/>
          <w:sz w:val="20"/>
          <w:szCs w:val="20"/>
          <w:highlight w:val="none"/>
          <w:u w:val="single"/>
        </w:rPr>
      </w:pPr>
      <w:r>
        <w:rPr>
          <w:rFonts w:hint="eastAsia" w:ascii="宋体" w:hAnsi="宋体" w:cs="宋体"/>
          <w:bCs/>
          <w:color w:val="auto"/>
          <w:kern w:val="0"/>
          <w:sz w:val="20"/>
          <w:szCs w:val="20"/>
          <w:highlight w:val="none"/>
        </w:rPr>
        <w:t>2.1 项目地点：</w:t>
      </w:r>
      <w:r>
        <w:rPr>
          <w:rFonts w:hint="eastAsia" w:ascii="宋体" w:hAnsi="宋体" w:cs="宋体"/>
          <w:bCs/>
          <w:color w:val="auto"/>
          <w:kern w:val="0"/>
          <w:sz w:val="20"/>
          <w:szCs w:val="20"/>
          <w:highlight w:val="none"/>
          <w:u w:val="single"/>
          <w:lang w:val="en-US" w:eastAsia="zh-CN"/>
        </w:rPr>
        <w:t>重庆市儿童公园</w:t>
      </w:r>
    </w:p>
    <w:p>
      <w:pPr>
        <w:tabs>
          <w:tab w:val="left" w:pos="7170"/>
        </w:tabs>
        <w:spacing w:line="360" w:lineRule="auto"/>
        <w:ind w:right="-365" w:rightChars="-174" w:firstLine="384" w:firstLineChars="192"/>
        <w:rPr>
          <w:rFonts w:hint="eastAsia" w:ascii="宋体" w:hAnsi="宋体" w:cs="宋体"/>
          <w:bCs/>
          <w:color w:val="auto"/>
          <w:kern w:val="0"/>
          <w:sz w:val="20"/>
          <w:szCs w:val="20"/>
          <w:highlight w:val="none"/>
        </w:rPr>
      </w:pPr>
      <w:r>
        <w:rPr>
          <w:rFonts w:hint="eastAsia" w:ascii="宋体" w:hAnsi="宋体" w:cs="宋体"/>
          <w:bCs/>
          <w:color w:val="auto"/>
          <w:kern w:val="0"/>
          <w:sz w:val="20"/>
          <w:szCs w:val="20"/>
          <w:highlight w:val="none"/>
        </w:rPr>
        <w:t>2.2项目规模及内容如下：</w:t>
      </w:r>
    </w:p>
    <w:p>
      <w:pPr>
        <w:spacing w:line="360" w:lineRule="auto"/>
        <w:ind w:firstLine="400" w:firstLineChars="200"/>
        <w:jc w:val="left"/>
        <w:rPr>
          <w:rFonts w:hint="eastAsia" w:ascii="宋体" w:hAnsi="宋体" w:eastAsia="宋体" w:cs="宋体"/>
          <w:bCs/>
          <w:color w:val="auto"/>
          <w:kern w:val="0"/>
          <w:sz w:val="20"/>
          <w:szCs w:val="20"/>
          <w:highlight w:val="none"/>
          <w:lang w:val="en-US" w:eastAsia="zh-CN"/>
        </w:rPr>
      </w:pPr>
      <w:bookmarkStart w:id="11" w:name="OLE_LINK1"/>
      <w:r>
        <w:rPr>
          <w:rFonts w:hint="eastAsia" w:ascii="宋体" w:hAnsi="宋体" w:cs="宋体"/>
          <w:bCs/>
          <w:color w:val="auto"/>
          <w:kern w:val="0"/>
          <w:sz w:val="20"/>
          <w:szCs w:val="20"/>
          <w:highlight w:val="none"/>
          <w:lang w:val="en-US" w:eastAsia="zh-CN"/>
        </w:rPr>
        <w:t>具体详见第五章执行清单及方案</w:t>
      </w:r>
      <w:r>
        <w:rPr>
          <w:rFonts w:hint="eastAsia" w:ascii="宋体" w:hAnsi="宋体" w:cs="宋体"/>
          <w:bCs/>
          <w:color w:val="auto"/>
          <w:kern w:val="0"/>
          <w:sz w:val="20"/>
          <w:szCs w:val="20"/>
          <w:highlight w:val="none"/>
          <w:lang w:eastAsia="zh-CN"/>
        </w:rPr>
        <w:t>。</w:t>
      </w:r>
      <w:bookmarkEnd w:id="11"/>
    </w:p>
    <w:p>
      <w:pPr>
        <w:spacing w:line="360" w:lineRule="auto"/>
        <w:ind w:firstLine="400" w:firstLineChars="200"/>
        <w:jc w:val="left"/>
        <w:rPr>
          <w:rFonts w:hint="default" w:ascii="宋体" w:hAnsi="宋体" w:cs="宋体"/>
          <w:bCs/>
          <w:color w:val="auto"/>
          <w:kern w:val="0"/>
          <w:sz w:val="20"/>
          <w:szCs w:val="20"/>
          <w:highlight w:val="none"/>
          <w:lang w:val="en-US"/>
        </w:rPr>
      </w:pPr>
      <w:r>
        <w:rPr>
          <w:rFonts w:hint="eastAsia" w:ascii="宋体" w:hAnsi="宋体" w:cs="宋体"/>
          <w:bCs/>
          <w:color w:val="auto"/>
          <w:kern w:val="0"/>
          <w:sz w:val="20"/>
          <w:szCs w:val="20"/>
          <w:highlight w:val="none"/>
        </w:rPr>
        <w:t>2.3比选范围：</w:t>
      </w:r>
      <w:r>
        <w:rPr>
          <w:rFonts w:hint="eastAsia" w:ascii="宋体" w:hAnsi="宋体" w:cs="宋体"/>
          <w:bCs/>
          <w:color w:val="auto"/>
          <w:kern w:val="0"/>
          <w:sz w:val="20"/>
          <w:szCs w:val="20"/>
          <w:highlight w:val="none"/>
          <w:lang w:val="en-US" w:eastAsia="zh-CN"/>
        </w:rPr>
        <w:t>按照</w:t>
      </w:r>
      <w:r>
        <w:rPr>
          <w:rFonts w:hint="eastAsia" w:ascii="宋体" w:hAnsi="宋体" w:cs="宋体"/>
          <w:color w:val="auto"/>
          <w:sz w:val="20"/>
          <w:szCs w:val="20"/>
          <w:highlight w:val="none"/>
        </w:rPr>
        <w:t>比选人提供的</w:t>
      </w:r>
      <w:r>
        <w:rPr>
          <w:rFonts w:hint="eastAsia" w:ascii="宋体" w:hAnsi="宋体" w:cs="宋体"/>
          <w:color w:val="auto"/>
          <w:sz w:val="20"/>
          <w:szCs w:val="20"/>
          <w:highlight w:val="none"/>
          <w:lang w:val="en-US" w:eastAsia="zh-CN"/>
        </w:rPr>
        <w:t>执行清单</w:t>
      </w:r>
      <w:r>
        <w:rPr>
          <w:rFonts w:hint="eastAsia" w:ascii="宋体" w:hAnsi="宋体" w:cs="宋体"/>
          <w:color w:val="auto"/>
          <w:sz w:val="20"/>
          <w:szCs w:val="20"/>
          <w:highlight w:val="none"/>
        </w:rPr>
        <w:t>所包含的全部</w:t>
      </w:r>
      <w:r>
        <w:rPr>
          <w:rFonts w:hint="eastAsia" w:ascii="宋体" w:hAnsi="宋体" w:cs="宋体"/>
          <w:color w:val="auto"/>
          <w:sz w:val="20"/>
          <w:szCs w:val="20"/>
          <w:highlight w:val="none"/>
          <w:lang w:val="en-US" w:eastAsia="zh-CN"/>
        </w:rPr>
        <w:t>设施设备及材料（</w:t>
      </w:r>
      <w:r>
        <w:rPr>
          <w:rFonts w:hint="eastAsia" w:ascii="宋体" w:hAnsi="宋体" w:cs="宋体"/>
          <w:color w:val="auto"/>
          <w:sz w:val="20"/>
          <w:szCs w:val="20"/>
          <w:highlight w:val="none"/>
        </w:rPr>
        <w:t>具体以比选人</w:t>
      </w:r>
      <w:r>
        <w:rPr>
          <w:rFonts w:hint="eastAsia" w:ascii="宋体" w:hAnsi="宋体" w:cs="宋体"/>
          <w:color w:val="auto"/>
          <w:sz w:val="20"/>
          <w:szCs w:val="20"/>
          <w:highlight w:val="none"/>
          <w:lang w:val="en-US" w:eastAsia="zh-CN"/>
        </w:rPr>
        <w:t>确认的执行清单</w:t>
      </w:r>
      <w:r>
        <w:rPr>
          <w:rFonts w:hint="eastAsia" w:ascii="宋体" w:hAnsi="宋体" w:cs="宋体"/>
          <w:color w:val="auto"/>
          <w:sz w:val="20"/>
          <w:szCs w:val="20"/>
          <w:highlight w:val="none"/>
        </w:rPr>
        <w:t>为准</w:t>
      </w:r>
      <w:r>
        <w:rPr>
          <w:rFonts w:hint="eastAsia" w:ascii="宋体" w:hAnsi="宋体" w:cs="宋体"/>
          <w:color w:val="auto"/>
          <w:sz w:val="20"/>
          <w:szCs w:val="20"/>
          <w:highlight w:val="none"/>
          <w:lang w:eastAsia="zh-CN"/>
        </w:rPr>
        <w:t>）</w:t>
      </w:r>
      <w:r>
        <w:rPr>
          <w:rFonts w:hint="eastAsia" w:ascii="宋体" w:hAnsi="宋体" w:cs="宋体"/>
          <w:color w:val="auto"/>
          <w:sz w:val="20"/>
          <w:szCs w:val="20"/>
          <w:highlight w:val="none"/>
        </w:rPr>
        <w:t>，</w:t>
      </w:r>
      <w:r>
        <w:rPr>
          <w:rFonts w:hint="eastAsia" w:ascii="宋体" w:hAnsi="宋体" w:cs="宋体"/>
          <w:color w:val="auto"/>
          <w:sz w:val="20"/>
          <w:szCs w:val="20"/>
          <w:highlight w:val="none"/>
          <w:lang w:val="en-US" w:eastAsia="zh-CN"/>
        </w:rPr>
        <w:t>包括但不限于设施设备及材料的生产制作（利用或采购或租赁）、安装、调试、运行使用及拆除后存放至比选人指定的位置。</w:t>
      </w:r>
      <w:bookmarkStart w:id="12" w:name="OLE_LINK4"/>
      <w:r>
        <w:rPr>
          <w:rFonts w:hint="eastAsia" w:ascii="宋体" w:hAnsi="宋体" w:cs="宋体"/>
          <w:color w:val="auto"/>
          <w:sz w:val="20"/>
          <w:szCs w:val="20"/>
          <w:highlight w:val="none"/>
          <w:lang w:val="en-US" w:eastAsia="zh-CN"/>
        </w:rPr>
        <w:t>搭设完成的光影艺术装置满足</w:t>
      </w:r>
      <w:r>
        <w:rPr>
          <w:rFonts w:hint="eastAsia" w:ascii="宋体" w:hAnsi="宋体" w:eastAsia="宋体" w:cs="宋体"/>
          <w:b w:val="0"/>
          <w:bCs/>
          <w:color w:val="auto"/>
          <w:sz w:val="20"/>
          <w:szCs w:val="20"/>
          <w:highlight w:val="none"/>
          <w:u w:val="none"/>
          <w:lang w:eastAsia="zh-CN"/>
        </w:rPr>
        <w:t>重庆国际光影文化旅游季-重庆市儿童公园光影艺术邀请展</w:t>
      </w:r>
      <w:r>
        <w:rPr>
          <w:rFonts w:hint="eastAsia" w:ascii="宋体" w:hAnsi="宋体" w:eastAsia="宋体" w:cs="宋体"/>
          <w:b w:val="0"/>
          <w:bCs/>
          <w:color w:val="auto"/>
          <w:sz w:val="20"/>
          <w:szCs w:val="20"/>
          <w:highlight w:val="none"/>
          <w:u w:val="none"/>
          <w:lang w:val="en-US" w:eastAsia="zh-CN"/>
        </w:rPr>
        <w:t>方案效果要求</w:t>
      </w:r>
      <w:r>
        <w:rPr>
          <w:rFonts w:hint="eastAsia" w:ascii="宋体" w:hAnsi="宋体" w:cs="宋体"/>
          <w:b w:val="0"/>
          <w:bCs/>
          <w:color w:val="auto"/>
          <w:sz w:val="20"/>
          <w:szCs w:val="20"/>
          <w:highlight w:val="none"/>
          <w:u w:val="none"/>
          <w:lang w:val="en-US" w:eastAsia="zh-CN"/>
        </w:rPr>
        <w:t>，并保障其在活动期间的正常运行</w:t>
      </w:r>
      <w:r>
        <w:rPr>
          <w:rFonts w:hint="eastAsia" w:ascii="宋体" w:hAnsi="宋体" w:eastAsia="宋体" w:cs="宋体"/>
          <w:b w:val="0"/>
          <w:bCs/>
          <w:color w:val="auto"/>
          <w:sz w:val="20"/>
          <w:szCs w:val="20"/>
          <w:highlight w:val="none"/>
          <w:u w:val="none"/>
          <w:lang w:val="en-US" w:eastAsia="zh-CN"/>
        </w:rPr>
        <w:t>。</w:t>
      </w:r>
      <w:bookmarkEnd w:id="12"/>
    </w:p>
    <w:p>
      <w:pPr>
        <w:spacing w:line="360" w:lineRule="auto"/>
        <w:ind w:right="-441" w:rightChars="-210" w:firstLine="400" w:firstLineChars="200"/>
        <w:rPr>
          <w:rFonts w:hint="eastAsia"/>
          <w:color w:val="000000"/>
          <w:szCs w:val="21"/>
          <w:lang w:eastAsia="zh-CN"/>
        </w:rPr>
      </w:pPr>
      <w:r>
        <w:rPr>
          <w:rFonts w:hint="eastAsia" w:ascii="宋体" w:hAnsi="宋体" w:cs="宋体"/>
          <w:color w:val="auto"/>
          <w:sz w:val="20"/>
          <w:szCs w:val="20"/>
          <w:highlight w:val="none"/>
        </w:rPr>
        <w:t xml:space="preserve">2.4 </w:t>
      </w:r>
      <w:r>
        <w:rPr>
          <w:rFonts w:hint="eastAsia" w:ascii="宋体" w:hAnsi="宋体" w:cs="宋体"/>
          <w:color w:val="auto"/>
          <w:sz w:val="20"/>
          <w:szCs w:val="20"/>
          <w:highlight w:val="none"/>
          <w:lang w:val="en-US" w:eastAsia="zh-CN"/>
        </w:rPr>
        <w:t>展览活动时间：</w:t>
      </w:r>
      <w:r>
        <w:rPr>
          <w:rFonts w:hint="eastAsia"/>
          <w:color w:val="000000"/>
          <w:szCs w:val="21"/>
        </w:rPr>
        <w:t>202</w:t>
      </w:r>
      <w:r>
        <w:rPr>
          <w:rFonts w:hint="eastAsia"/>
          <w:color w:val="000000"/>
          <w:szCs w:val="21"/>
          <w:lang w:val="en-US" w:eastAsia="zh-CN"/>
        </w:rPr>
        <w:t>5</w:t>
      </w:r>
      <w:r>
        <w:rPr>
          <w:rFonts w:hint="eastAsia"/>
          <w:color w:val="000000"/>
          <w:szCs w:val="21"/>
        </w:rPr>
        <w:t>年12月</w:t>
      </w:r>
      <w:r>
        <w:rPr>
          <w:rFonts w:hint="eastAsia"/>
          <w:color w:val="000000"/>
          <w:szCs w:val="21"/>
          <w:lang w:val="en-US" w:eastAsia="zh-CN"/>
        </w:rPr>
        <w:t>31</w:t>
      </w:r>
      <w:r>
        <w:rPr>
          <w:rFonts w:hint="eastAsia"/>
          <w:color w:val="000000"/>
          <w:szCs w:val="21"/>
        </w:rPr>
        <w:t>日-</w:t>
      </w:r>
      <w:r>
        <w:rPr>
          <w:color w:val="000000"/>
          <w:szCs w:val="21"/>
        </w:rPr>
        <w:t>202</w:t>
      </w:r>
      <w:r>
        <w:rPr>
          <w:rFonts w:hint="eastAsia"/>
          <w:color w:val="000000"/>
          <w:szCs w:val="21"/>
          <w:lang w:val="en-US" w:eastAsia="zh-CN"/>
        </w:rPr>
        <w:t>6</w:t>
      </w:r>
      <w:r>
        <w:rPr>
          <w:rFonts w:hint="eastAsia"/>
          <w:color w:val="000000"/>
          <w:szCs w:val="21"/>
        </w:rPr>
        <w:t>年</w:t>
      </w:r>
      <w:r>
        <w:rPr>
          <w:rFonts w:hint="eastAsia"/>
          <w:color w:val="000000"/>
          <w:szCs w:val="21"/>
          <w:lang w:val="en-US" w:eastAsia="zh-CN"/>
        </w:rPr>
        <w:t>3</w:t>
      </w:r>
      <w:r>
        <w:rPr>
          <w:rFonts w:hint="eastAsia"/>
          <w:color w:val="000000"/>
          <w:szCs w:val="21"/>
        </w:rPr>
        <w:t>月</w:t>
      </w:r>
      <w:r>
        <w:rPr>
          <w:rFonts w:hint="eastAsia"/>
          <w:color w:val="000000"/>
          <w:szCs w:val="21"/>
          <w:lang w:val="en-US" w:eastAsia="zh-CN"/>
        </w:rPr>
        <w:t>3</w:t>
      </w:r>
      <w:r>
        <w:rPr>
          <w:rFonts w:hint="eastAsia"/>
          <w:color w:val="000000"/>
          <w:szCs w:val="21"/>
        </w:rPr>
        <w:t>日</w:t>
      </w:r>
      <w:r>
        <w:rPr>
          <w:rFonts w:hint="eastAsia"/>
          <w:color w:val="000000"/>
          <w:szCs w:val="21"/>
          <w:lang w:eastAsia="zh-CN"/>
        </w:rPr>
        <w:t>（</w:t>
      </w:r>
      <w:r>
        <w:rPr>
          <w:rFonts w:hint="eastAsia"/>
          <w:color w:val="000000"/>
          <w:szCs w:val="21"/>
          <w:lang w:val="en-US" w:eastAsia="zh-CN"/>
        </w:rPr>
        <w:t>暂定，最终以比选人确认为准</w:t>
      </w:r>
      <w:r>
        <w:rPr>
          <w:rFonts w:hint="eastAsia"/>
          <w:color w:val="000000"/>
          <w:szCs w:val="21"/>
          <w:lang w:eastAsia="zh-CN"/>
        </w:rPr>
        <w:t>）</w:t>
      </w:r>
    </w:p>
    <w:p>
      <w:pPr>
        <w:spacing w:line="360" w:lineRule="auto"/>
        <w:ind w:firstLine="400" w:firstLineChars="200"/>
        <w:jc w:val="left"/>
        <w:rPr>
          <w:rFonts w:hint="default" w:ascii="宋体" w:hAnsi="宋体" w:cs="宋体"/>
          <w:color w:val="auto"/>
          <w:sz w:val="20"/>
          <w:szCs w:val="20"/>
          <w:highlight w:val="none"/>
          <w:lang w:val="en-US"/>
        </w:rPr>
      </w:pPr>
      <w:r>
        <w:rPr>
          <w:rFonts w:hint="eastAsia" w:ascii="宋体" w:hAnsi="宋体" w:cs="宋体"/>
          <w:color w:val="auto"/>
          <w:sz w:val="20"/>
          <w:szCs w:val="20"/>
          <w:highlight w:val="none"/>
          <w:lang w:val="en-US" w:eastAsia="zh-CN"/>
        </w:rPr>
        <w:t>2.5</w:t>
      </w:r>
      <w:r>
        <w:rPr>
          <w:rFonts w:hint="eastAsia" w:ascii="宋体" w:hAnsi="宋体" w:cs="宋体"/>
          <w:color w:val="auto"/>
          <w:sz w:val="20"/>
          <w:szCs w:val="20"/>
          <w:highlight w:val="none"/>
        </w:rPr>
        <w:t>工期要求：</w:t>
      </w:r>
      <w:r>
        <w:rPr>
          <w:rFonts w:hint="eastAsia" w:ascii="宋体" w:hAnsi="宋体" w:cs="宋体"/>
          <w:color w:val="auto"/>
          <w:sz w:val="20"/>
          <w:szCs w:val="20"/>
          <w:highlight w:val="none"/>
          <w:lang w:val="en-US" w:eastAsia="zh-CN"/>
        </w:rPr>
        <w:t>2025年12月31日前完成，满足展览要求。</w:t>
      </w:r>
    </w:p>
    <w:p>
      <w:pPr>
        <w:pStyle w:val="5"/>
        <w:spacing w:before="0" w:line="360" w:lineRule="auto"/>
        <w:rPr>
          <w:rFonts w:hint="eastAsia" w:ascii="宋体" w:hAnsi="宋体" w:eastAsia="宋体"/>
          <w:snapToGrid w:val="0"/>
          <w:color w:val="auto"/>
          <w:sz w:val="22"/>
          <w:szCs w:val="22"/>
          <w:highlight w:val="none"/>
        </w:rPr>
      </w:pPr>
      <w:bookmarkStart w:id="13" w:name="_Toc443576765"/>
      <w:r>
        <w:rPr>
          <w:rFonts w:hint="eastAsia" w:ascii="宋体" w:hAnsi="宋体" w:eastAsia="宋体"/>
          <w:snapToGrid w:val="0"/>
          <w:color w:val="auto"/>
          <w:sz w:val="22"/>
          <w:szCs w:val="22"/>
          <w:highlight w:val="none"/>
        </w:rPr>
        <w:t>3.</w:t>
      </w:r>
      <w:r>
        <w:rPr>
          <w:rFonts w:hint="eastAsia" w:ascii="宋体" w:hAnsi="宋体" w:eastAsia="宋体"/>
          <w:snapToGrid w:val="0"/>
          <w:color w:val="auto"/>
          <w:sz w:val="22"/>
          <w:szCs w:val="22"/>
          <w:highlight w:val="none"/>
          <w:lang w:eastAsia="zh-CN"/>
        </w:rPr>
        <w:t>参选</w:t>
      </w:r>
      <w:r>
        <w:rPr>
          <w:rFonts w:hint="eastAsia" w:ascii="宋体" w:hAnsi="宋体" w:eastAsia="宋体"/>
          <w:snapToGrid w:val="0"/>
          <w:color w:val="auto"/>
          <w:sz w:val="22"/>
          <w:szCs w:val="22"/>
          <w:highlight w:val="none"/>
        </w:rPr>
        <w:t>人资格要求</w:t>
      </w:r>
      <w:bookmarkEnd w:id="13"/>
    </w:p>
    <w:p>
      <w:pPr>
        <w:pStyle w:val="5"/>
        <w:spacing w:before="0" w:line="360" w:lineRule="auto"/>
        <w:ind w:firstLine="400" w:firstLineChars="200"/>
        <w:rPr>
          <w:rFonts w:hint="eastAsia" w:ascii="宋体" w:hAnsi="宋体" w:eastAsia="宋体" w:cs="宋体"/>
          <w:b w:val="0"/>
          <w:color w:val="auto"/>
          <w:kern w:val="2"/>
          <w:sz w:val="20"/>
          <w:szCs w:val="20"/>
          <w:highlight w:val="none"/>
          <w:lang w:val="en-US" w:eastAsia="zh-CN" w:bidi="ar-SA"/>
        </w:rPr>
      </w:pPr>
      <w:bookmarkStart w:id="14" w:name="_Toc443576766"/>
      <w:r>
        <w:rPr>
          <w:rFonts w:hint="eastAsia" w:ascii="宋体" w:hAnsi="宋体" w:eastAsia="宋体" w:cs="宋体"/>
          <w:b w:val="0"/>
          <w:color w:val="auto"/>
          <w:kern w:val="2"/>
          <w:sz w:val="20"/>
          <w:szCs w:val="20"/>
          <w:highlight w:val="none"/>
          <w:lang w:val="en-US" w:eastAsia="zh-CN" w:bidi="ar-SA"/>
        </w:rPr>
        <w:t>详见第二章第10条“参选人资质条件、能力和信誉”</w:t>
      </w:r>
    </w:p>
    <w:p>
      <w:pPr>
        <w:pStyle w:val="5"/>
        <w:spacing w:before="0" w:line="360" w:lineRule="auto"/>
        <w:rPr>
          <w:rFonts w:hint="eastAsia" w:ascii="宋体" w:hAnsi="宋体" w:eastAsia="宋体"/>
          <w:snapToGrid w:val="0"/>
          <w:color w:val="auto"/>
          <w:sz w:val="22"/>
          <w:szCs w:val="22"/>
          <w:highlight w:val="none"/>
        </w:rPr>
      </w:pPr>
      <w:r>
        <w:rPr>
          <w:rFonts w:hint="eastAsia" w:ascii="宋体" w:hAnsi="宋体" w:eastAsia="宋体"/>
          <w:snapToGrid w:val="0"/>
          <w:color w:val="auto"/>
          <w:sz w:val="22"/>
          <w:szCs w:val="22"/>
          <w:highlight w:val="none"/>
        </w:rPr>
        <w:t>4.比选文件的获取</w:t>
      </w:r>
      <w:bookmarkEnd w:id="14"/>
    </w:p>
    <w:p>
      <w:pPr>
        <w:tabs>
          <w:tab w:val="left" w:pos="3045"/>
          <w:tab w:val="left" w:pos="8310"/>
        </w:tabs>
        <w:autoSpaceDE w:val="0"/>
        <w:autoSpaceDN w:val="0"/>
        <w:adjustRightInd w:val="0"/>
        <w:snapToGrid w:val="0"/>
        <w:spacing w:line="460" w:lineRule="exact"/>
        <w:ind w:firstLine="400" w:firstLineChars="200"/>
        <w:rPr>
          <w:rFonts w:hint="eastAsia" w:ascii="宋体" w:hAnsi="宋体"/>
          <w:snapToGrid w:val="0"/>
          <w:color w:val="auto"/>
          <w:kern w:val="0"/>
          <w:szCs w:val="21"/>
          <w:highlight w:val="none"/>
        </w:rPr>
      </w:pPr>
      <w:bookmarkStart w:id="15" w:name="_Toc443576768"/>
      <w:r>
        <w:rPr>
          <w:rFonts w:ascii="宋体" w:hAnsi="宋体" w:cs="宋体"/>
          <w:color w:val="auto"/>
          <w:sz w:val="20"/>
          <w:szCs w:val="22"/>
          <w:highlight w:val="none"/>
        </w:rPr>
        <w:t>4.1</w:t>
      </w:r>
      <w:r>
        <w:rPr>
          <w:rFonts w:hint="eastAsia" w:ascii="宋体" w:hAnsi="宋体"/>
          <w:snapToGrid w:val="0"/>
          <w:color w:val="auto"/>
          <w:kern w:val="0"/>
          <w:szCs w:val="21"/>
          <w:highlight w:val="none"/>
        </w:rPr>
        <w:t>4.1获取时间：从202</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lang w:val="en-US" w:eastAsia="zh-CN"/>
        </w:rPr>
        <w:t>12</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lang w:val="en-US" w:eastAsia="zh-CN"/>
        </w:rPr>
        <w:t>12</w:t>
      </w:r>
      <w:r>
        <w:rPr>
          <w:rFonts w:hint="eastAsia" w:ascii="宋体" w:hAnsi="宋体"/>
          <w:snapToGrid w:val="0"/>
          <w:color w:val="auto"/>
          <w:kern w:val="0"/>
          <w:szCs w:val="21"/>
          <w:highlight w:val="none"/>
        </w:rPr>
        <w:t>日</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rPr>
        <w:t>时00分到202</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lang w:val="en-US" w:eastAsia="zh-CN"/>
        </w:rPr>
        <w:t>12</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lang w:val="en-US" w:eastAsia="zh-CN"/>
        </w:rPr>
        <w:t>17</w:t>
      </w:r>
      <w:r>
        <w:rPr>
          <w:rFonts w:hint="eastAsia" w:ascii="宋体" w:hAnsi="宋体"/>
          <w:snapToGrid w:val="0"/>
          <w:color w:val="auto"/>
          <w:kern w:val="0"/>
          <w:szCs w:val="21"/>
          <w:highlight w:val="none"/>
        </w:rPr>
        <w:t>日10时00分。</w:t>
      </w:r>
    </w:p>
    <w:p>
      <w:pPr>
        <w:tabs>
          <w:tab w:val="left" w:pos="3045"/>
          <w:tab w:val="left" w:pos="8310"/>
        </w:tabs>
        <w:autoSpaceDE w:val="0"/>
        <w:autoSpaceDN w:val="0"/>
        <w:adjustRightInd w:val="0"/>
        <w:snapToGrid w:val="0"/>
        <w:spacing w:line="460" w:lineRule="exact"/>
        <w:ind w:firstLine="420"/>
        <w:rPr>
          <w:rFonts w:hint="eastAsia" w:ascii="宋体" w:hAnsi="宋体" w:cs="宋体"/>
          <w:color w:val="auto"/>
          <w:sz w:val="20"/>
          <w:szCs w:val="22"/>
          <w:highlight w:val="none"/>
        </w:rPr>
      </w:pPr>
      <w:r>
        <w:rPr>
          <w:rFonts w:hint="eastAsia" w:ascii="宋体" w:hAnsi="宋体"/>
          <w:snapToGrid w:val="0"/>
          <w:color w:val="auto"/>
          <w:kern w:val="0"/>
          <w:szCs w:val="21"/>
          <w:highlight w:val="none"/>
        </w:rPr>
        <w:t>4.2获取方式：凡有意参加比选者在</w:t>
      </w:r>
      <w:r>
        <w:rPr>
          <w:rFonts w:hint="eastAsia" w:ascii="宋体" w:hAnsi="宋体"/>
          <w:snapToGrid w:val="0"/>
          <w:color w:val="auto"/>
          <w:kern w:val="0"/>
          <w:szCs w:val="21"/>
          <w:highlight w:val="none"/>
          <w:lang w:eastAsia="zh-CN"/>
        </w:rPr>
        <w:t>重庆山水城文化旅游发展有限公司</w:t>
      </w:r>
      <w:r>
        <w:rPr>
          <w:rFonts w:hint="eastAsia" w:ascii="宋体" w:hAnsi="宋体"/>
          <w:snapToGrid w:val="0"/>
          <w:color w:val="auto"/>
          <w:kern w:val="0"/>
          <w:szCs w:val="21"/>
          <w:highlight w:val="none"/>
        </w:rPr>
        <w:t>官网（</w:t>
      </w:r>
      <w:r>
        <w:rPr>
          <w:rFonts w:hint="eastAsia" w:ascii="宋体" w:hAnsi="宋体"/>
          <w:snapToGrid w:val="0"/>
          <w:color w:val="auto"/>
          <w:kern w:val="0"/>
          <w:szCs w:val="21"/>
          <w:highlight w:val="none"/>
          <w:lang w:eastAsia="zh-CN"/>
        </w:rPr>
        <w:t>http://www.cqsswl.com/</w:t>
      </w: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或</w:t>
      </w:r>
      <w:r>
        <w:rPr>
          <w:rFonts w:hint="eastAsia" w:ascii="宋体" w:hAnsi="宋体" w:eastAsia="宋体" w:cs="Times New Roman"/>
          <w:snapToGrid w:val="0"/>
          <w:kern w:val="0"/>
          <w:szCs w:val="21"/>
          <w:highlight w:val="none"/>
          <w:lang w:val="en-US" w:eastAsia="zh-CN"/>
        </w:rPr>
        <w:t>重庆文旅</w:t>
      </w:r>
      <w:r>
        <w:rPr>
          <w:rFonts w:hint="eastAsia" w:ascii="宋体" w:hAnsi="宋体" w:eastAsia="宋体" w:cs="Times New Roman"/>
          <w:snapToGrid w:val="0"/>
          <w:kern w:val="0"/>
          <w:szCs w:val="21"/>
          <w:highlight w:val="none"/>
        </w:rPr>
        <w:t>集团集采平台官网（https://jc.iotourism.com）</w:t>
      </w:r>
      <w:r>
        <w:rPr>
          <w:rFonts w:hint="eastAsia" w:ascii="宋体" w:hAnsi="宋体"/>
          <w:snapToGrid w:val="0"/>
          <w:color w:val="auto"/>
          <w:kern w:val="0"/>
          <w:szCs w:val="21"/>
          <w:highlight w:val="none"/>
        </w:rPr>
        <w:t>上下载本项目的公开比选文件及相关资料。</w:t>
      </w:r>
    </w:p>
    <w:p>
      <w:pPr>
        <w:spacing w:line="360" w:lineRule="auto"/>
        <w:ind w:firstLine="420" w:firstLineChars="200"/>
        <w:rPr>
          <w:rFonts w:hint="eastAsia" w:ascii="宋体" w:hAnsi="宋体" w:cs="MingLiU"/>
          <w:snapToGrid w:val="0"/>
          <w:color w:val="auto"/>
          <w:szCs w:val="21"/>
          <w:highlight w:val="none"/>
        </w:rPr>
      </w:pPr>
      <w:r>
        <w:drawing>
          <wp:anchor distT="0" distB="0" distL="114300" distR="114300" simplePos="0" relativeHeight="251662336" behindDoc="0" locked="0" layoutInCell="1" allowOverlap="1">
            <wp:simplePos x="0" y="0"/>
            <wp:positionH relativeFrom="column">
              <wp:posOffset>2840355</wp:posOffset>
            </wp:positionH>
            <wp:positionV relativeFrom="paragraph">
              <wp:posOffset>1120775</wp:posOffset>
            </wp:positionV>
            <wp:extent cx="1019175" cy="1019175"/>
            <wp:effectExtent l="0" t="0" r="9525" b="9525"/>
            <wp:wrapNone/>
            <wp:docPr id="7" name="图片 7" descr="8c5b08d47ba41f5cc0b6a0ffd1a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8c5b08d47ba41f5cc0b6a0ffd1a8186"/>
                    <pic:cNvPicPr>
                      <a:picLocks noChangeAspect="1"/>
                    </pic:cNvPicPr>
                  </pic:nvPicPr>
                  <pic:blipFill>
                    <a:blip r:embed="rId17"/>
                    <a:stretch>
                      <a:fillRect/>
                    </a:stretch>
                  </pic:blipFill>
                  <pic:spPr>
                    <a:xfrm>
                      <a:off x="0" y="0"/>
                      <a:ext cx="1019175" cy="1019175"/>
                    </a:xfrm>
                    <a:prstGeom prst="rect">
                      <a:avLst/>
                    </a:prstGeom>
                    <a:noFill/>
                    <a:ln>
                      <a:noFill/>
                    </a:ln>
                  </pic:spPr>
                </pic:pic>
              </a:graphicData>
            </a:graphic>
          </wp:anchor>
        </w:drawing>
      </w:r>
      <w:r>
        <w:rPr>
          <w:rFonts w:hint="eastAsia" w:ascii="宋体" w:hAnsi="宋体" w:cs="MingLiU"/>
          <w:snapToGrid w:val="0"/>
          <w:color w:val="auto"/>
          <w:szCs w:val="21"/>
          <w:highlight w:val="none"/>
        </w:rPr>
        <w:t>4.</w:t>
      </w:r>
      <w:r>
        <w:rPr>
          <w:rFonts w:hint="eastAsia" w:ascii="宋体" w:hAnsi="宋体" w:cs="MingLiU"/>
          <w:snapToGrid w:val="0"/>
          <w:color w:val="auto"/>
          <w:szCs w:val="21"/>
          <w:highlight w:val="none"/>
          <w:lang w:val="en-US" w:eastAsia="zh-CN"/>
        </w:rPr>
        <w:t>3</w:t>
      </w:r>
      <w:r>
        <w:rPr>
          <w:rFonts w:hint="eastAsia" w:ascii="宋体" w:hAnsi="宋体" w:cs="MingLiU"/>
          <w:snapToGrid w:val="0"/>
          <w:color w:val="auto"/>
          <w:szCs w:val="21"/>
          <w:highlight w:val="none"/>
        </w:rPr>
        <w:t>有意愿参加本项目</w:t>
      </w:r>
      <w:r>
        <w:rPr>
          <w:rFonts w:hint="eastAsia" w:ascii="宋体" w:hAnsi="宋体" w:cs="MingLiU"/>
          <w:snapToGrid w:val="0"/>
          <w:color w:val="auto"/>
          <w:szCs w:val="21"/>
          <w:highlight w:val="none"/>
          <w:lang w:val="en-US" w:eastAsia="zh-CN"/>
        </w:rPr>
        <w:t>比选</w:t>
      </w:r>
      <w:r>
        <w:rPr>
          <w:rFonts w:hint="eastAsia" w:ascii="宋体" w:hAnsi="宋体" w:cs="MingLiU"/>
          <w:snapToGrid w:val="0"/>
          <w:color w:val="auto"/>
          <w:szCs w:val="21"/>
          <w:highlight w:val="none"/>
        </w:rPr>
        <w:t>的单位（承包商），需在本项目</w:t>
      </w:r>
      <w:r>
        <w:rPr>
          <w:rFonts w:hint="eastAsia" w:ascii="宋体" w:hAnsi="宋体" w:cs="MingLiU"/>
          <w:snapToGrid w:val="0"/>
          <w:color w:val="auto"/>
          <w:szCs w:val="21"/>
          <w:highlight w:val="none"/>
          <w:lang w:val="en-US" w:eastAsia="zh-CN"/>
        </w:rPr>
        <w:t>参选</w:t>
      </w:r>
      <w:r>
        <w:rPr>
          <w:rFonts w:hint="eastAsia" w:ascii="宋体" w:hAnsi="宋体" w:cs="MingLiU"/>
          <w:snapToGrid w:val="0"/>
          <w:color w:val="auto"/>
          <w:szCs w:val="21"/>
          <w:highlight w:val="none"/>
        </w:rPr>
        <w:t>文件递交截止时间前，通过“重庆</w:t>
      </w:r>
      <w:r>
        <w:rPr>
          <w:rFonts w:hint="eastAsia" w:ascii="宋体" w:hAnsi="宋体" w:cs="MingLiU"/>
          <w:snapToGrid w:val="0"/>
          <w:color w:val="auto"/>
          <w:szCs w:val="21"/>
          <w:highlight w:val="none"/>
          <w:lang w:val="en-US" w:eastAsia="zh-CN"/>
        </w:rPr>
        <w:t>文旅</w:t>
      </w:r>
      <w:r>
        <w:rPr>
          <w:rFonts w:hint="eastAsia" w:ascii="宋体" w:hAnsi="宋体" w:cs="MingLiU"/>
          <w:snapToGrid w:val="0"/>
          <w:color w:val="auto"/>
          <w:szCs w:val="21"/>
          <w:highlight w:val="none"/>
        </w:rPr>
        <w:t>集团集采平台”登记加入“重庆</w:t>
      </w:r>
      <w:r>
        <w:rPr>
          <w:rFonts w:hint="eastAsia" w:ascii="宋体" w:hAnsi="宋体" w:cs="MingLiU"/>
          <w:snapToGrid w:val="0"/>
          <w:color w:val="auto"/>
          <w:szCs w:val="21"/>
          <w:highlight w:val="none"/>
          <w:lang w:val="en-US" w:eastAsia="zh-CN"/>
        </w:rPr>
        <w:t>文旅</w:t>
      </w:r>
      <w:r>
        <w:rPr>
          <w:rFonts w:hint="eastAsia" w:ascii="宋体" w:hAnsi="宋体" w:cs="MingLiU"/>
          <w:snapToGrid w:val="0"/>
          <w:color w:val="auto"/>
          <w:szCs w:val="21"/>
          <w:highlight w:val="none"/>
        </w:rPr>
        <w:t>集团供应商库”（步骤：扫描</w:t>
      </w:r>
      <w:r>
        <w:rPr>
          <w:rFonts w:hint="eastAsia" w:ascii="宋体" w:hAnsi="宋体" w:cs="MingLiU"/>
          <w:snapToGrid w:val="0"/>
          <w:color w:val="auto"/>
          <w:szCs w:val="21"/>
          <w:highlight w:val="none"/>
          <w:lang w:val="en-US" w:eastAsia="zh-CN"/>
        </w:rPr>
        <w:t>下方</w:t>
      </w:r>
      <w:r>
        <w:rPr>
          <w:rFonts w:hint="eastAsia" w:ascii="宋体" w:hAnsi="宋体" w:cs="MingLiU"/>
          <w:snapToGrid w:val="0"/>
          <w:color w:val="auto"/>
          <w:szCs w:val="21"/>
          <w:highlight w:val="none"/>
        </w:rPr>
        <w:t>“供应商微信小程序入口端”二维码，按程序完成）。</w:t>
      </w:r>
      <w:r>
        <w:rPr>
          <w:rFonts w:hint="eastAsia" w:ascii="宋体" w:hAnsi="宋体" w:cs="MingLiU"/>
          <w:snapToGrid w:val="0"/>
          <w:color w:val="auto"/>
          <w:szCs w:val="21"/>
          <w:highlight w:val="none"/>
          <w:lang w:val="en-US" w:eastAsia="zh-CN"/>
        </w:rPr>
        <w:t>参选</w:t>
      </w:r>
      <w:r>
        <w:rPr>
          <w:rFonts w:hint="eastAsia" w:ascii="宋体" w:hAnsi="宋体" w:cs="MingLiU"/>
          <w:snapToGrid w:val="0"/>
          <w:color w:val="auto"/>
          <w:szCs w:val="21"/>
          <w:highlight w:val="none"/>
        </w:rPr>
        <w:t>人按照相关入库要求，如实填报企业相关信息，确保录入的信息真实、准确无误，并承担相关责任。</w:t>
      </w:r>
      <w:r>
        <w:rPr>
          <w:rFonts w:hint="eastAsia" w:ascii="宋体" w:hAnsi="宋体" w:cs="MingLiU"/>
          <w:snapToGrid w:val="0"/>
          <w:color w:val="auto"/>
          <w:szCs w:val="21"/>
          <w:highlight w:val="none"/>
          <w:lang w:val="en-US" w:eastAsia="zh-CN"/>
        </w:rPr>
        <w:t>参选</w:t>
      </w:r>
      <w:r>
        <w:rPr>
          <w:rFonts w:hint="eastAsia" w:ascii="宋体" w:hAnsi="宋体" w:cs="MingLiU"/>
          <w:snapToGrid w:val="0"/>
          <w:color w:val="auto"/>
          <w:szCs w:val="21"/>
          <w:highlight w:val="none"/>
        </w:rPr>
        <w:t>文件中须附上已登记的相关截图并加盖</w:t>
      </w:r>
      <w:r>
        <w:rPr>
          <w:rFonts w:hint="eastAsia" w:ascii="宋体" w:hAnsi="宋体" w:cs="MingLiU"/>
          <w:snapToGrid w:val="0"/>
          <w:color w:val="auto"/>
          <w:szCs w:val="21"/>
          <w:highlight w:val="none"/>
          <w:lang w:eastAsia="zh-CN"/>
        </w:rPr>
        <w:t>参选</w:t>
      </w:r>
      <w:r>
        <w:rPr>
          <w:rFonts w:hint="eastAsia" w:ascii="宋体" w:hAnsi="宋体" w:cs="MingLiU"/>
          <w:snapToGrid w:val="0"/>
          <w:color w:val="auto"/>
          <w:szCs w:val="21"/>
          <w:highlight w:val="none"/>
        </w:rPr>
        <w:t>人公章。</w:t>
      </w:r>
    </w:p>
    <w:p>
      <w:pPr>
        <w:pStyle w:val="2"/>
        <w:rPr>
          <w:rFonts w:hint="eastAsia" w:ascii="宋体" w:hAnsi="宋体" w:cs="MingLiU"/>
          <w:snapToGrid w:val="0"/>
          <w:color w:val="auto"/>
          <w:szCs w:val="21"/>
          <w:highlight w:val="none"/>
        </w:rPr>
      </w:pPr>
    </w:p>
    <w:p>
      <w:pPr>
        <w:rPr>
          <w:rFonts w:hint="eastAsia" w:ascii="宋体" w:hAnsi="宋体" w:cs="MingLiU"/>
          <w:snapToGrid w:val="0"/>
          <w:color w:val="auto"/>
          <w:szCs w:val="21"/>
          <w:highlight w:val="none"/>
        </w:rPr>
      </w:pPr>
    </w:p>
    <w:p>
      <w:pPr>
        <w:pStyle w:val="2"/>
        <w:rPr>
          <w:rFonts w:hint="eastAsia" w:ascii="宋体" w:hAnsi="宋体" w:cs="MingLiU"/>
          <w:snapToGrid w:val="0"/>
          <w:color w:val="auto"/>
          <w:szCs w:val="21"/>
          <w:highlight w:val="none"/>
        </w:rPr>
      </w:pPr>
    </w:p>
    <w:p>
      <w:pPr>
        <w:rPr>
          <w:rFonts w:hint="eastAsia"/>
        </w:rPr>
      </w:pPr>
    </w:p>
    <w:p>
      <w:pPr>
        <w:rPr>
          <w:rFonts w:hint="default"/>
          <w:lang w:val="en-US" w:eastAsia="zh-CN"/>
        </w:rPr>
      </w:pPr>
    </w:p>
    <w:p>
      <w:pPr>
        <w:pStyle w:val="5"/>
        <w:spacing w:before="0" w:line="360" w:lineRule="auto"/>
        <w:rPr>
          <w:rFonts w:hint="eastAsia" w:ascii="宋体" w:hAnsi="宋体" w:eastAsia="宋体"/>
          <w:snapToGrid w:val="0"/>
          <w:color w:val="auto"/>
          <w:sz w:val="22"/>
          <w:szCs w:val="22"/>
          <w:highlight w:val="none"/>
        </w:rPr>
      </w:pPr>
      <w:bookmarkStart w:id="16" w:name="_Toc443576767"/>
      <w:r>
        <w:rPr>
          <w:rFonts w:hint="eastAsia" w:ascii="宋体" w:hAnsi="宋体" w:eastAsia="宋体"/>
          <w:snapToGrid w:val="0"/>
          <w:color w:val="auto"/>
          <w:sz w:val="22"/>
          <w:szCs w:val="22"/>
          <w:highlight w:val="none"/>
        </w:rPr>
        <w:t>5.</w:t>
      </w:r>
      <w:r>
        <w:rPr>
          <w:rFonts w:hint="eastAsia" w:ascii="宋体" w:hAnsi="宋体" w:eastAsia="宋体"/>
          <w:snapToGrid w:val="0"/>
          <w:color w:val="auto"/>
          <w:sz w:val="22"/>
          <w:szCs w:val="22"/>
          <w:highlight w:val="none"/>
          <w:lang w:eastAsia="zh-CN"/>
        </w:rPr>
        <w:t>参选</w:t>
      </w:r>
      <w:r>
        <w:rPr>
          <w:rFonts w:hint="eastAsia" w:ascii="宋体" w:hAnsi="宋体" w:eastAsia="宋体"/>
          <w:snapToGrid w:val="0"/>
          <w:color w:val="auto"/>
          <w:sz w:val="22"/>
          <w:szCs w:val="22"/>
          <w:highlight w:val="none"/>
        </w:rPr>
        <w:t>文件递交时间及地点、比选时间</w:t>
      </w:r>
      <w:bookmarkEnd w:id="16"/>
    </w:p>
    <w:p>
      <w:pPr>
        <w:pStyle w:val="5"/>
        <w:tabs>
          <w:tab w:val="center" w:pos="4904"/>
        </w:tabs>
        <w:spacing w:before="0" w:line="360" w:lineRule="auto"/>
        <w:ind w:firstLine="420" w:firstLineChars="200"/>
        <w:rPr>
          <w:rFonts w:hint="eastAsia" w:ascii="宋体" w:hAnsi="宋体" w:eastAsia="宋体" w:cs="MingLiU"/>
          <w:b w:val="0"/>
          <w:snapToGrid w:val="0"/>
          <w:color w:val="auto"/>
          <w:kern w:val="2"/>
          <w:sz w:val="21"/>
          <w:szCs w:val="21"/>
          <w:highlight w:val="none"/>
          <w:lang w:val="en-US" w:eastAsia="zh-CN" w:bidi="ar-SA"/>
        </w:rPr>
      </w:pPr>
      <w:r>
        <w:rPr>
          <w:rFonts w:hint="eastAsia" w:ascii="宋体" w:hAnsi="宋体" w:eastAsia="宋体" w:cs="MingLiU"/>
          <w:b w:val="0"/>
          <w:snapToGrid w:val="0"/>
          <w:color w:val="auto"/>
          <w:kern w:val="2"/>
          <w:sz w:val="21"/>
          <w:szCs w:val="21"/>
          <w:highlight w:val="none"/>
          <w:lang w:val="en-US" w:eastAsia="zh-CN" w:bidi="ar-SA"/>
        </w:rPr>
        <w:t>5.1参选文件递交截止和开标时间：2025年12月17日10时00分（北京时间）</w:t>
      </w:r>
    </w:p>
    <w:p>
      <w:pPr>
        <w:pStyle w:val="5"/>
        <w:tabs>
          <w:tab w:val="center" w:pos="4904"/>
        </w:tabs>
        <w:spacing w:before="0" w:line="360" w:lineRule="auto"/>
        <w:ind w:firstLine="420" w:firstLineChars="200"/>
        <w:rPr>
          <w:rFonts w:hint="eastAsia" w:ascii="宋体" w:hAnsi="宋体" w:eastAsia="宋体" w:cs="MingLiU"/>
          <w:b w:val="0"/>
          <w:snapToGrid w:val="0"/>
          <w:color w:val="auto"/>
          <w:kern w:val="2"/>
          <w:sz w:val="21"/>
          <w:szCs w:val="21"/>
          <w:highlight w:val="none"/>
          <w:lang w:val="en-US" w:eastAsia="zh-CN" w:bidi="ar-SA"/>
        </w:rPr>
      </w:pPr>
      <w:r>
        <w:rPr>
          <w:rFonts w:hint="eastAsia" w:ascii="宋体" w:hAnsi="宋体" w:eastAsia="宋体" w:cs="MingLiU"/>
          <w:b w:val="0"/>
          <w:snapToGrid w:val="0"/>
          <w:color w:val="auto"/>
          <w:kern w:val="2"/>
          <w:sz w:val="21"/>
          <w:szCs w:val="21"/>
          <w:highlight w:val="none"/>
          <w:lang w:val="en-US" w:eastAsia="zh-CN" w:bidi="ar-SA"/>
        </w:rPr>
        <w:t>5.2参选和开标地点：重庆市渝中区金渝大厦38层山水城文旅公司会议室。</w:t>
      </w:r>
    </w:p>
    <w:p>
      <w:pPr>
        <w:pStyle w:val="5"/>
        <w:tabs>
          <w:tab w:val="center" w:pos="4904"/>
        </w:tabs>
        <w:spacing w:before="0" w:line="360" w:lineRule="auto"/>
        <w:ind w:firstLine="420" w:firstLineChars="200"/>
        <w:rPr>
          <w:rFonts w:hint="eastAsia" w:ascii="宋体" w:hAnsi="宋体" w:eastAsia="宋体" w:cs="MingLiU"/>
          <w:b w:val="0"/>
          <w:snapToGrid w:val="0"/>
          <w:color w:val="auto"/>
          <w:kern w:val="2"/>
          <w:sz w:val="21"/>
          <w:szCs w:val="21"/>
          <w:highlight w:val="none"/>
          <w:lang w:val="en-US" w:eastAsia="zh-CN" w:bidi="ar-SA"/>
        </w:rPr>
      </w:pPr>
      <w:r>
        <w:rPr>
          <w:rFonts w:hint="eastAsia" w:ascii="宋体" w:hAnsi="宋体" w:eastAsia="宋体" w:cs="MingLiU"/>
          <w:b w:val="0"/>
          <w:snapToGrid w:val="0"/>
          <w:color w:val="auto"/>
          <w:kern w:val="2"/>
          <w:sz w:val="21"/>
          <w:szCs w:val="21"/>
          <w:highlight w:val="none"/>
          <w:lang w:val="en-US" w:eastAsia="zh-CN" w:bidi="ar-SA"/>
        </w:rPr>
        <w:t>5.3现场递交，逾期送达或未送达指定地点，或未密封的参选文件，比选人不予受理。</w:t>
      </w:r>
    </w:p>
    <w:p>
      <w:pPr>
        <w:pStyle w:val="5"/>
        <w:tabs>
          <w:tab w:val="center" w:pos="4904"/>
        </w:tabs>
        <w:spacing w:before="0" w:line="360" w:lineRule="auto"/>
        <w:rPr>
          <w:rFonts w:hint="eastAsia" w:ascii="宋体" w:hAnsi="宋体" w:eastAsia="宋体"/>
          <w:snapToGrid w:val="0"/>
          <w:color w:val="auto"/>
          <w:sz w:val="22"/>
          <w:szCs w:val="22"/>
          <w:highlight w:val="none"/>
        </w:rPr>
      </w:pPr>
      <w:r>
        <w:rPr>
          <w:rFonts w:hint="eastAsia" w:ascii="宋体" w:hAnsi="宋体" w:eastAsia="宋体"/>
          <w:snapToGrid w:val="0"/>
          <w:color w:val="auto"/>
          <w:sz w:val="22"/>
          <w:szCs w:val="22"/>
          <w:highlight w:val="none"/>
          <w:lang w:val="en-US" w:eastAsia="zh-CN"/>
        </w:rPr>
        <w:t>6</w:t>
      </w:r>
      <w:r>
        <w:rPr>
          <w:rFonts w:hint="eastAsia" w:ascii="宋体" w:hAnsi="宋体" w:eastAsia="宋体"/>
          <w:snapToGrid w:val="0"/>
          <w:color w:val="auto"/>
          <w:sz w:val="22"/>
          <w:szCs w:val="22"/>
          <w:highlight w:val="none"/>
        </w:rPr>
        <w:t>.</w:t>
      </w:r>
      <w:bookmarkEnd w:id="15"/>
      <w:r>
        <w:rPr>
          <w:rFonts w:hint="eastAsia" w:ascii="宋体" w:hAnsi="宋体" w:eastAsia="宋体"/>
          <w:snapToGrid w:val="0"/>
          <w:color w:val="auto"/>
          <w:sz w:val="22"/>
          <w:szCs w:val="22"/>
          <w:highlight w:val="none"/>
        </w:rPr>
        <w:t>比选公告的发布</w:t>
      </w:r>
      <w:r>
        <w:rPr>
          <w:rFonts w:ascii="宋体" w:hAnsi="宋体" w:eastAsia="宋体"/>
          <w:snapToGrid w:val="0"/>
          <w:color w:val="auto"/>
          <w:sz w:val="22"/>
          <w:szCs w:val="22"/>
          <w:highlight w:val="none"/>
        </w:rPr>
        <w:tab/>
      </w:r>
    </w:p>
    <w:p>
      <w:pPr>
        <w:spacing w:line="360" w:lineRule="auto"/>
        <w:ind w:firstLine="400" w:firstLineChars="200"/>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本比选公告将在</w:t>
      </w:r>
      <w:r>
        <w:rPr>
          <w:rFonts w:hint="eastAsia" w:ascii="宋体" w:hAnsi="宋体" w:cs="宋体"/>
          <w:color w:val="auto"/>
          <w:kern w:val="0"/>
          <w:sz w:val="20"/>
          <w:szCs w:val="20"/>
          <w:highlight w:val="none"/>
          <w:u w:val="none"/>
          <w:lang w:eastAsia="zh-CN"/>
        </w:rPr>
        <w:t>重庆山水城文化旅游发展有限公司</w:t>
      </w:r>
      <w:r>
        <w:rPr>
          <w:rFonts w:hint="eastAsia" w:ascii="宋体" w:hAnsi="宋体" w:cs="宋体"/>
          <w:color w:val="auto"/>
          <w:kern w:val="0"/>
          <w:sz w:val="20"/>
          <w:szCs w:val="20"/>
          <w:highlight w:val="none"/>
          <w:u w:val="none"/>
        </w:rPr>
        <w:t>官网（</w:t>
      </w:r>
      <w:r>
        <w:rPr>
          <w:rFonts w:hint="eastAsia" w:ascii="宋体" w:hAnsi="宋体" w:cs="宋体"/>
          <w:color w:val="auto"/>
          <w:kern w:val="0"/>
          <w:sz w:val="20"/>
          <w:szCs w:val="20"/>
          <w:highlight w:val="none"/>
          <w:u w:val="none"/>
          <w:lang w:eastAsia="zh-CN"/>
        </w:rPr>
        <w:t>http://www.cqsswl.com/</w:t>
      </w:r>
      <w:r>
        <w:rPr>
          <w:rFonts w:hint="eastAsia" w:ascii="宋体" w:hAnsi="宋体" w:cs="宋体"/>
          <w:color w:val="auto"/>
          <w:kern w:val="0"/>
          <w:sz w:val="20"/>
          <w:szCs w:val="20"/>
          <w:highlight w:val="none"/>
          <w:u w:val="none"/>
        </w:rPr>
        <w:t>）</w:t>
      </w:r>
      <w:r>
        <w:rPr>
          <w:rFonts w:hint="eastAsia" w:ascii="宋体" w:hAnsi="宋体" w:cs="宋体"/>
          <w:color w:val="auto"/>
          <w:kern w:val="0"/>
          <w:sz w:val="20"/>
          <w:szCs w:val="20"/>
          <w:highlight w:val="none"/>
          <w:u w:val="none"/>
          <w:lang w:val="en-US" w:eastAsia="zh-CN"/>
        </w:rPr>
        <w:t>和</w:t>
      </w:r>
      <w:r>
        <w:rPr>
          <w:rFonts w:hint="eastAsia" w:ascii="宋体" w:hAnsi="宋体" w:eastAsia="宋体" w:cs="Times New Roman"/>
          <w:snapToGrid w:val="0"/>
          <w:kern w:val="0"/>
          <w:szCs w:val="21"/>
          <w:highlight w:val="none"/>
          <w:lang w:val="en-US" w:eastAsia="zh-CN"/>
        </w:rPr>
        <w:t>重庆文旅</w:t>
      </w:r>
      <w:r>
        <w:rPr>
          <w:rFonts w:hint="eastAsia" w:ascii="宋体" w:hAnsi="宋体" w:eastAsia="宋体" w:cs="Times New Roman"/>
          <w:snapToGrid w:val="0"/>
          <w:kern w:val="0"/>
          <w:szCs w:val="21"/>
          <w:highlight w:val="none"/>
        </w:rPr>
        <w:t>集团集采平台官网（https://jc.iotourism.com）</w:t>
      </w:r>
      <w:r>
        <w:rPr>
          <w:rFonts w:hint="eastAsia" w:ascii="宋体" w:hAnsi="宋体" w:cs="宋体"/>
          <w:color w:val="auto"/>
          <w:kern w:val="0"/>
          <w:sz w:val="20"/>
          <w:szCs w:val="20"/>
          <w:highlight w:val="none"/>
          <w:u w:val="none"/>
          <w:lang w:val="en-US" w:eastAsia="zh-CN"/>
        </w:rPr>
        <w:t>上</w:t>
      </w:r>
      <w:r>
        <w:rPr>
          <w:rFonts w:hint="eastAsia" w:ascii="宋体" w:hAnsi="宋体" w:cs="宋体"/>
          <w:color w:val="auto"/>
          <w:kern w:val="0"/>
          <w:sz w:val="20"/>
          <w:szCs w:val="20"/>
          <w:highlight w:val="none"/>
        </w:rPr>
        <w:t>发布。</w:t>
      </w:r>
    </w:p>
    <w:p>
      <w:pPr>
        <w:pStyle w:val="5"/>
        <w:tabs>
          <w:tab w:val="center" w:pos="4904"/>
        </w:tabs>
        <w:spacing w:before="0" w:line="360" w:lineRule="auto"/>
        <w:rPr>
          <w:rFonts w:hint="eastAsia" w:ascii="宋体" w:hAnsi="宋体" w:cs="MingLiU"/>
          <w:color w:val="auto"/>
          <w:highlight w:val="none"/>
        </w:rPr>
      </w:pPr>
      <w:r>
        <w:rPr>
          <w:rFonts w:hint="eastAsia" w:ascii="宋体" w:hAnsi="宋体" w:eastAsia="宋体"/>
          <w:snapToGrid w:val="0"/>
          <w:color w:val="auto"/>
          <w:sz w:val="22"/>
          <w:szCs w:val="22"/>
          <w:highlight w:val="none"/>
        </w:rPr>
        <w:t>7.联系方式</w:t>
      </w:r>
      <w:r>
        <w:rPr>
          <w:rFonts w:ascii="宋体" w:hAnsi="宋体" w:eastAsia="宋体"/>
          <w:snapToGrid w:val="0"/>
          <w:color w:val="auto"/>
          <w:sz w:val="22"/>
          <w:szCs w:val="22"/>
          <w:highlight w:val="none"/>
        </w:rPr>
        <w:tab/>
      </w:r>
    </w:p>
    <w:p>
      <w:pPr>
        <w:spacing w:line="360" w:lineRule="auto"/>
        <w:ind w:firstLine="400" w:firstLineChars="200"/>
        <w:jc w:val="left"/>
        <w:rPr>
          <w:rFonts w:hint="eastAsia" w:ascii="宋体" w:hAnsi="宋体" w:cs="MingLiU"/>
          <w:color w:val="auto"/>
          <w:sz w:val="20"/>
          <w:szCs w:val="22"/>
          <w:highlight w:val="none"/>
        </w:rPr>
      </w:pPr>
      <w:r>
        <w:rPr>
          <w:rFonts w:hint="eastAsia" w:ascii="宋体" w:hAnsi="宋体" w:cs="MingLiU"/>
          <w:color w:val="auto"/>
          <w:sz w:val="20"/>
          <w:szCs w:val="22"/>
          <w:highlight w:val="none"/>
        </w:rPr>
        <w:t>比选人：</w:t>
      </w:r>
      <w:r>
        <w:rPr>
          <w:rFonts w:hint="eastAsia" w:ascii="宋体" w:hAnsi="宋体" w:cs="MingLiU"/>
          <w:color w:val="auto"/>
          <w:sz w:val="20"/>
          <w:szCs w:val="22"/>
          <w:highlight w:val="none"/>
          <w:u w:val="single"/>
          <w:lang w:eastAsia="zh-CN"/>
        </w:rPr>
        <w:t>重庆山水城文化旅游发展有限公司</w:t>
      </w:r>
      <w:r>
        <w:rPr>
          <w:rFonts w:hint="eastAsia" w:ascii="宋体" w:hAnsi="宋体" w:cs="MingLiU"/>
          <w:color w:val="auto"/>
          <w:sz w:val="20"/>
          <w:szCs w:val="22"/>
          <w:highlight w:val="none"/>
          <w:u w:val="single"/>
        </w:rPr>
        <w:t xml:space="preserve"> </w:t>
      </w:r>
      <w:r>
        <w:rPr>
          <w:rFonts w:hint="eastAsia" w:ascii="宋体" w:hAnsi="宋体" w:cs="MingLiU"/>
          <w:color w:val="auto"/>
          <w:sz w:val="20"/>
          <w:szCs w:val="22"/>
          <w:highlight w:val="none"/>
        </w:rPr>
        <w:t xml:space="preserve">    </w:t>
      </w:r>
    </w:p>
    <w:p>
      <w:pPr>
        <w:spacing w:line="360" w:lineRule="auto"/>
        <w:ind w:firstLine="400" w:firstLineChars="200"/>
        <w:jc w:val="left"/>
        <w:rPr>
          <w:rFonts w:hint="eastAsia" w:ascii="宋体" w:hAnsi="宋体" w:cs="MingLiU"/>
          <w:color w:val="auto"/>
          <w:sz w:val="20"/>
          <w:szCs w:val="22"/>
          <w:highlight w:val="none"/>
        </w:rPr>
      </w:pPr>
      <w:r>
        <w:rPr>
          <w:rFonts w:hint="eastAsia" w:ascii="宋体" w:hAnsi="宋体" w:cs="MingLiU"/>
          <w:color w:val="auto"/>
          <w:sz w:val="20"/>
          <w:szCs w:val="22"/>
          <w:highlight w:val="none"/>
        </w:rPr>
        <w:t>地    址：</w:t>
      </w:r>
      <w:r>
        <w:rPr>
          <w:rFonts w:hint="eastAsia" w:ascii="宋体" w:hAnsi="宋体" w:cs="MingLiU"/>
          <w:color w:val="auto"/>
          <w:sz w:val="20"/>
          <w:szCs w:val="22"/>
          <w:highlight w:val="none"/>
          <w:u w:val="single"/>
          <w:lang w:eastAsia="zh-CN"/>
        </w:rPr>
        <w:t>重庆市渝中区金渝大厦38楼山水城公司会议室</w:t>
      </w:r>
      <w:r>
        <w:rPr>
          <w:rFonts w:hint="eastAsia" w:ascii="宋体" w:hAnsi="宋体" w:cs="MingLiU"/>
          <w:color w:val="auto"/>
          <w:sz w:val="20"/>
          <w:szCs w:val="22"/>
          <w:highlight w:val="none"/>
        </w:rPr>
        <w:t xml:space="preserve">  </w:t>
      </w:r>
    </w:p>
    <w:p>
      <w:pPr>
        <w:spacing w:line="360" w:lineRule="auto"/>
        <w:ind w:firstLine="400" w:firstLineChars="200"/>
        <w:jc w:val="left"/>
        <w:rPr>
          <w:rFonts w:hint="eastAsia" w:ascii="宋体" w:hAnsi="宋体" w:cs="MingLiU"/>
          <w:color w:val="auto"/>
          <w:sz w:val="20"/>
          <w:szCs w:val="22"/>
          <w:highlight w:val="none"/>
        </w:rPr>
      </w:pPr>
      <w:r>
        <w:rPr>
          <w:rFonts w:hint="eastAsia" w:ascii="宋体" w:hAnsi="宋体" w:cs="MingLiU"/>
          <w:color w:val="auto"/>
          <w:sz w:val="20"/>
          <w:szCs w:val="22"/>
          <w:highlight w:val="none"/>
        </w:rPr>
        <w:t>联 系 人：</w:t>
      </w:r>
      <w:r>
        <w:rPr>
          <w:rFonts w:hint="eastAsia" w:ascii="宋体" w:hAnsi="宋体" w:cs="MingLiU"/>
          <w:color w:val="auto"/>
          <w:sz w:val="20"/>
          <w:szCs w:val="22"/>
          <w:highlight w:val="none"/>
          <w:u w:val="single"/>
          <w:lang w:val="en-US" w:eastAsia="zh-CN"/>
        </w:rPr>
        <w:t>吴</w:t>
      </w:r>
      <w:r>
        <w:rPr>
          <w:rFonts w:hint="eastAsia" w:ascii="宋体" w:hAnsi="宋体" w:cs="MingLiU"/>
          <w:color w:val="auto"/>
          <w:sz w:val="20"/>
          <w:szCs w:val="22"/>
          <w:highlight w:val="none"/>
          <w:u w:val="single"/>
        </w:rPr>
        <w:t xml:space="preserve">老师 </w:t>
      </w:r>
      <w:r>
        <w:rPr>
          <w:rFonts w:hint="eastAsia" w:ascii="宋体" w:hAnsi="宋体" w:cs="MingLiU"/>
          <w:color w:val="auto"/>
          <w:sz w:val="20"/>
          <w:szCs w:val="22"/>
          <w:highlight w:val="none"/>
        </w:rPr>
        <w:t xml:space="preserve">                    </w:t>
      </w:r>
    </w:p>
    <w:p>
      <w:pPr>
        <w:spacing w:line="360" w:lineRule="auto"/>
        <w:ind w:firstLine="400" w:firstLineChars="200"/>
        <w:jc w:val="left"/>
        <w:rPr>
          <w:rFonts w:hint="default" w:ascii="宋体" w:hAnsi="宋体" w:eastAsia="宋体" w:cs="MingLiU"/>
          <w:color w:val="auto"/>
          <w:sz w:val="20"/>
          <w:szCs w:val="22"/>
          <w:highlight w:val="none"/>
          <w:lang w:val="en-US" w:eastAsia="zh-CN"/>
        </w:rPr>
      </w:pPr>
      <w:r>
        <w:rPr>
          <w:rFonts w:hint="eastAsia" w:ascii="宋体" w:hAnsi="宋体" w:cs="MingLiU"/>
          <w:color w:val="auto"/>
          <w:sz w:val="20"/>
          <w:szCs w:val="22"/>
          <w:highlight w:val="none"/>
        </w:rPr>
        <w:t>电    话：</w:t>
      </w:r>
      <w:r>
        <w:rPr>
          <w:rFonts w:hint="eastAsia" w:ascii="宋体" w:hAnsi="宋体" w:cs="MingLiU"/>
          <w:color w:val="auto"/>
          <w:sz w:val="20"/>
          <w:szCs w:val="22"/>
          <w:highlight w:val="none"/>
          <w:u w:val="single"/>
          <w:lang w:val="en-US" w:eastAsia="zh-CN"/>
        </w:rPr>
        <w:t>023-61360909</w:t>
      </w:r>
    </w:p>
    <w:bookmarkEnd w:id="6"/>
    <w:p>
      <w:pPr>
        <w:keepNext w:val="0"/>
        <w:keepLines w:val="0"/>
        <w:pageBreakBefore w:val="0"/>
        <w:kinsoku/>
        <w:wordWrap/>
        <w:overflowPunct/>
        <w:topLinePunct w:val="0"/>
        <w:bidi w:val="0"/>
        <w:spacing w:line="360" w:lineRule="auto"/>
        <w:ind w:firstLine="420" w:firstLineChars="200"/>
        <w:jc w:val="left"/>
        <w:textAlignment w:val="auto"/>
        <w:rPr>
          <w:rFonts w:hint="default" w:ascii="宋体" w:hAnsi="宋体" w:cs="MingLiU"/>
          <w:color w:val="auto"/>
          <w:highlight w:val="none"/>
          <w:lang w:val="en-US" w:eastAsia="zh-CN"/>
        </w:rPr>
      </w:pPr>
    </w:p>
    <w:p>
      <w:pPr>
        <w:pStyle w:val="21"/>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21"/>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21"/>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21"/>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50"/>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50"/>
        <w:rPr>
          <w:rFonts w:hint="eastAsia" w:ascii="宋体" w:hAnsi="宋体" w:cs="MingLiU"/>
          <w:color w:val="auto"/>
          <w:highlight w:val="none"/>
          <w:lang w:val="en-US" w:eastAsia="zh-CN"/>
        </w:rPr>
      </w:pPr>
    </w:p>
    <w:p>
      <w:pPr>
        <w:rPr>
          <w:rFonts w:hint="eastAsia" w:ascii="宋体" w:hAnsi="宋体" w:cs="MingLiU"/>
          <w:color w:val="auto"/>
          <w:highlight w:val="none"/>
          <w:lang w:val="en-US" w:eastAsia="zh-CN"/>
        </w:rPr>
      </w:pPr>
    </w:p>
    <w:p>
      <w:pPr>
        <w:pStyle w:val="50"/>
        <w:rPr>
          <w:rFonts w:hint="eastAsia"/>
          <w:color w:val="auto"/>
          <w:highlight w:val="none"/>
          <w:lang w:val="en-US" w:eastAsia="zh-CN"/>
        </w:rPr>
      </w:pPr>
    </w:p>
    <w:p>
      <w:pPr>
        <w:rPr>
          <w:rFonts w:hint="eastAsia"/>
          <w:color w:val="auto"/>
          <w:highlight w:val="none"/>
          <w:lang w:val="en-US" w:eastAsia="zh-CN"/>
        </w:rPr>
      </w:pPr>
    </w:p>
    <w:p>
      <w:pPr>
        <w:pStyle w:val="50"/>
        <w:rPr>
          <w:rFonts w:hint="eastAsia"/>
          <w:color w:val="auto"/>
          <w:highlight w:val="none"/>
          <w:lang w:val="en-US" w:eastAsia="zh-CN"/>
        </w:rPr>
      </w:pPr>
    </w:p>
    <w:p>
      <w:pPr>
        <w:rPr>
          <w:rFonts w:hint="eastAsia"/>
          <w:color w:val="auto"/>
          <w:highlight w:val="none"/>
          <w:lang w:val="en-US" w:eastAsia="zh-CN"/>
        </w:rPr>
      </w:pPr>
    </w:p>
    <w:p>
      <w:pPr>
        <w:pStyle w:val="50"/>
        <w:rPr>
          <w:rFonts w:hint="eastAsia"/>
          <w:color w:val="auto"/>
          <w:highlight w:val="none"/>
          <w:lang w:val="en-US" w:eastAsia="zh-CN"/>
        </w:rPr>
      </w:pPr>
    </w:p>
    <w:p>
      <w:pPr>
        <w:rPr>
          <w:rFonts w:hint="default"/>
          <w:color w:val="auto"/>
          <w:highlight w:val="none"/>
          <w:lang w:val="en-US" w:eastAsia="zh-CN"/>
        </w:rPr>
      </w:pPr>
    </w:p>
    <w:bookmarkEnd w:id="4"/>
    <w:p>
      <w:pPr>
        <w:pStyle w:val="3"/>
        <w:bidi w:val="0"/>
        <w:ind w:left="5100" w:leftChars="0" w:firstLineChars="0"/>
        <w:jc w:val="left"/>
        <w:rPr>
          <w:rFonts w:hint="eastAsia"/>
          <w:color w:val="auto"/>
          <w:highlight w:val="none"/>
        </w:rPr>
      </w:pPr>
      <w:bookmarkStart w:id="17" w:name="_Toc11647"/>
      <w:r>
        <w:rPr>
          <w:rFonts w:hint="eastAsia"/>
          <w:color w:val="auto"/>
          <w:highlight w:val="none"/>
          <w:lang w:eastAsia="zh-CN"/>
        </w:rPr>
        <w:t>参选</w:t>
      </w:r>
      <w:r>
        <w:rPr>
          <w:rFonts w:hint="eastAsia"/>
          <w:color w:val="auto"/>
          <w:highlight w:val="none"/>
        </w:rPr>
        <w:t>人须知</w:t>
      </w:r>
      <w:bookmarkEnd w:id="7"/>
      <w:bookmarkEnd w:id="8"/>
      <w:bookmarkEnd w:id="17"/>
    </w:p>
    <w:tbl>
      <w:tblPr>
        <w:tblStyle w:val="5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30"/>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1188" w:type="dxa"/>
            <w:noWrap w:val="0"/>
            <w:vAlign w:val="center"/>
          </w:tcPr>
          <w:p>
            <w:pPr>
              <w:snapToGrid w:val="0"/>
              <w:spacing w:line="42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1730" w:type="dxa"/>
            <w:noWrap w:val="0"/>
            <w:vAlign w:val="center"/>
          </w:tcPr>
          <w:p>
            <w:pPr>
              <w:snapToGrid w:val="0"/>
              <w:spacing w:line="42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971" w:type="dxa"/>
            <w:noWrap w:val="0"/>
            <w:vAlign w:val="center"/>
          </w:tcPr>
          <w:p>
            <w:pPr>
              <w:snapToGrid w:val="0"/>
              <w:spacing w:line="42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w:t>
            </w:r>
          </w:p>
        </w:tc>
        <w:tc>
          <w:tcPr>
            <w:tcW w:w="6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比选人：</w:t>
            </w:r>
            <w:r>
              <w:rPr>
                <w:rFonts w:hint="eastAsia" w:ascii="宋体" w:hAnsi="宋体" w:eastAsia="宋体" w:cs="宋体"/>
                <w:color w:val="auto"/>
                <w:sz w:val="20"/>
                <w:szCs w:val="22"/>
                <w:highlight w:val="none"/>
                <w:u w:val="single"/>
                <w:lang w:eastAsia="zh-CN"/>
              </w:rPr>
              <w:t>重庆山水城文化旅游发展有限公司</w:t>
            </w:r>
            <w:r>
              <w:rPr>
                <w:rFonts w:hint="eastAsia" w:ascii="宋体" w:hAnsi="宋体" w:eastAsia="宋体" w:cs="宋体"/>
                <w:color w:val="auto"/>
                <w:sz w:val="20"/>
                <w:szCs w:val="22"/>
                <w:highlight w:val="none"/>
                <w:u w:val="single"/>
              </w:rPr>
              <w:t xml:space="preserve"> </w:t>
            </w:r>
            <w:r>
              <w:rPr>
                <w:rFonts w:hint="eastAsia" w:ascii="宋体" w:hAnsi="宋体" w:eastAsia="宋体" w:cs="宋体"/>
                <w:color w:val="auto"/>
                <w:sz w:val="20"/>
                <w:szCs w:val="22"/>
                <w:highlight w:val="none"/>
              </w:rPr>
              <w:t xml:space="preserve">    </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地    址：</w:t>
            </w:r>
            <w:r>
              <w:rPr>
                <w:rFonts w:hint="eastAsia" w:ascii="宋体" w:hAnsi="宋体" w:eastAsia="宋体" w:cs="宋体"/>
                <w:color w:val="auto"/>
                <w:sz w:val="20"/>
                <w:szCs w:val="22"/>
                <w:highlight w:val="none"/>
                <w:u w:val="single"/>
                <w:lang w:eastAsia="zh-CN"/>
              </w:rPr>
              <w:t>重庆市渝中区金渝大厦38楼山水城</w:t>
            </w:r>
            <w:r>
              <w:rPr>
                <w:rFonts w:hint="eastAsia" w:ascii="宋体" w:hAnsi="宋体" w:cs="宋体"/>
                <w:color w:val="auto"/>
                <w:sz w:val="20"/>
                <w:szCs w:val="22"/>
                <w:highlight w:val="none"/>
                <w:u w:val="single"/>
                <w:lang w:val="en-US" w:eastAsia="zh-CN"/>
              </w:rPr>
              <w:t>文旅</w:t>
            </w:r>
            <w:r>
              <w:rPr>
                <w:rFonts w:hint="eastAsia" w:ascii="宋体" w:hAnsi="宋体" w:eastAsia="宋体" w:cs="宋体"/>
                <w:color w:val="auto"/>
                <w:sz w:val="20"/>
                <w:szCs w:val="22"/>
                <w:highlight w:val="none"/>
                <w:u w:val="single"/>
                <w:lang w:eastAsia="zh-CN"/>
              </w:rPr>
              <w:t>公司会议室</w:t>
            </w:r>
            <w:r>
              <w:rPr>
                <w:rFonts w:hint="eastAsia" w:ascii="宋体" w:hAnsi="宋体" w:eastAsia="宋体" w:cs="宋体"/>
                <w:color w:val="auto"/>
                <w:sz w:val="20"/>
                <w:szCs w:val="22"/>
                <w:highlight w:val="none"/>
              </w:rPr>
              <w:t xml:space="preserve"> </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联 系 人：</w:t>
            </w:r>
            <w:r>
              <w:rPr>
                <w:rFonts w:hint="eastAsia" w:ascii="宋体" w:hAnsi="宋体" w:eastAsia="宋体" w:cs="宋体"/>
                <w:color w:val="auto"/>
                <w:sz w:val="20"/>
                <w:szCs w:val="22"/>
                <w:highlight w:val="none"/>
                <w:u w:val="single"/>
                <w:lang w:val="en-US" w:eastAsia="zh-CN"/>
              </w:rPr>
              <w:t>吴</w:t>
            </w:r>
            <w:r>
              <w:rPr>
                <w:rFonts w:hint="eastAsia" w:ascii="宋体" w:hAnsi="宋体" w:eastAsia="宋体" w:cs="宋体"/>
                <w:color w:val="auto"/>
                <w:sz w:val="20"/>
                <w:szCs w:val="22"/>
                <w:highlight w:val="none"/>
                <w:u w:val="single"/>
              </w:rPr>
              <w:t xml:space="preserve">老师 </w:t>
            </w:r>
            <w:r>
              <w:rPr>
                <w:rFonts w:hint="eastAsia" w:ascii="宋体" w:hAnsi="宋体" w:eastAsia="宋体" w:cs="宋体"/>
                <w:color w:val="auto"/>
                <w:sz w:val="20"/>
                <w:szCs w:val="22"/>
                <w:highlight w:val="none"/>
              </w:rPr>
              <w:t xml:space="preserve">                    </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 w:val="20"/>
                <w:szCs w:val="22"/>
                <w:highlight w:val="none"/>
              </w:rPr>
              <w:t>电    话：</w:t>
            </w:r>
            <w:r>
              <w:rPr>
                <w:rFonts w:hint="eastAsia" w:ascii="宋体" w:hAnsi="宋体" w:eastAsia="宋体" w:cs="宋体"/>
                <w:color w:val="auto"/>
                <w:sz w:val="20"/>
                <w:szCs w:val="22"/>
                <w:highlight w:val="none"/>
                <w:u w:val="single"/>
                <w:lang w:val="en-US" w:eastAsia="zh-CN"/>
              </w:rPr>
              <w:t>023-61360909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比选代理机构</w:t>
            </w:r>
          </w:p>
        </w:tc>
        <w:tc>
          <w:tcPr>
            <w:tcW w:w="6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auto"/>
                <w:kern w:val="0"/>
                <w:szCs w:val="21"/>
                <w:highlight w:val="none"/>
                <w:lang w:eastAsia="zh-CN"/>
              </w:rPr>
            </w:pPr>
            <w:r>
              <w:rPr>
                <w:rFonts w:hint="eastAsia" w:ascii="宋体" w:hAnsi="宋体" w:cs="宋体"/>
                <w:bCs/>
                <w:color w:val="auto"/>
                <w:kern w:val="0"/>
                <w:szCs w:val="21"/>
                <w:highlight w:val="none"/>
                <w:lang w:eastAsia="zh-CN"/>
              </w:rPr>
              <w:t>重庆国际光影文化旅游季-重庆市儿童公园光影艺术邀请展</w:t>
            </w:r>
            <w:r>
              <w:rPr>
                <w:rFonts w:hint="eastAsia" w:ascii="宋体" w:hAnsi="宋体" w:cs="宋体"/>
                <w:bCs/>
                <w:color w:val="auto"/>
                <w:kern w:val="0"/>
                <w:szCs w:val="21"/>
                <w:highlight w:val="none"/>
                <w:lang w:val="en-US" w:eastAsia="zh-CN"/>
              </w:rPr>
              <w:t>执行单位</w:t>
            </w:r>
            <w:r>
              <w:rPr>
                <w:rFonts w:hint="eastAsia" w:ascii="宋体" w:hAnsi="宋体" w:cs="宋体"/>
                <w:bCs/>
                <w:color w:val="auto"/>
                <w:kern w:val="0"/>
                <w:szCs w:val="21"/>
                <w:highlight w:val="none"/>
                <w:lang w:eastAsia="zh-CN"/>
              </w:rPr>
              <w:t>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建设地点</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auto"/>
                <w:kern w:val="0"/>
                <w:szCs w:val="21"/>
                <w:highlight w:val="none"/>
                <w:lang w:val="en-US" w:eastAsia="zh-CN"/>
              </w:rPr>
            </w:pPr>
            <w:r>
              <w:rPr>
                <w:rFonts w:hint="eastAsia" w:ascii="宋体" w:hAnsi="宋体" w:eastAsia="宋体" w:cs="宋体"/>
                <w:bCs/>
                <w:color w:val="auto"/>
                <w:kern w:val="0"/>
                <w:szCs w:val="21"/>
                <w:highlight w:val="none"/>
                <w:lang w:val="en-US" w:eastAsia="zh-CN"/>
              </w:rPr>
              <w:t>重庆市儿童公园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kern w:val="0"/>
                <w:szCs w:val="21"/>
                <w:highlight w:val="none"/>
                <w:lang w:val="en-US"/>
              </w:rPr>
            </w:pPr>
            <w:r>
              <w:rPr>
                <w:rFonts w:hint="eastAsia" w:ascii="宋体" w:hAnsi="宋体" w:eastAsia="宋体" w:cs="宋体"/>
                <w:bCs/>
                <w:color w:val="auto"/>
                <w:kern w:val="0"/>
                <w:szCs w:val="21"/>
                <w:highlight w:val="none"/>
                <w:u w:val="none"/>
                <w:lang w:val="en-US" w:eastAsia="zh-CN"/>
              </w:rPr>
              <w:t>业主自筹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比选范围</w:t>
            </w:r>
          </w:p>
        </w:tc>
        <w:tc>
          <w:tcPr>
            <w:tcW w:w="6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default" w:ascii="宋体" w:hAnsi="宋体" w:eastAsia="宋体" w:cs="宋体"/>
                <w:bCs/>
                <w:color w:val="auto"/>
                <w:kern w:val="0"/>
                <w:szCs w:val="21"/>
                <w:highlight w:val="none"/>
                <w:lang w:val="en-US" w:eastAsia="zh-CN"/>
              </w:rPr>
            </w:pPr>
            <w:r>
              <w:rPr>
                <w:rFonts w:hint="eastAsia" w:ascii="宋体" w:hAnsi="宋体" w:cs="宋体"/>
                <w:bCs/>
                <w:color w:val="auto"/>
                <w:kern w:val="0"/>
                <w:szCs w:val="21"/>
                <w:highlight w:val="none"/>
                <w:lang w:val="en-US" w:eastAsia="zh-CN"/>
              </w:rPr>
              <w:t>详见比选公告2.3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工期要求</w:t>
            </w:r>
          </w:p>
        </w:tc>
        <w:tc>
          <w:tcPr>
            <w:tcW w:w="6971" w:type="dxa"/>
            <w:noWrap w:val="0"/>
            <w:vAlign w:val="center"/>
          </w:tcPr>
          <w:p>
            <w:pPr>
              <w:spacing w:line="360" w:lineRule="auto"/>
              <w:jc w:val="left"/>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2025年12月31日前完成，满足展览要求</w:t>
            </w:r>
            <w:r>
              <w:rPr>
                <w:rFonts w:hint="eastAsia" w:ascii="宋体" w:hAnsi="宋体" w:cs="宋体"/>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质量要求</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按</w:t>
            </w:r>
            <w:r>
              <w:rPr>
                <w:rFonts w:hint="eastAsia" w:ascii="宋体" w:hAnsi="宋体" w:cs="宋体"/>
                <w:color w:val="auto"/>
                <w:szCs w:val="21"/>
                <w:highlight w:val="none"/>
                <w:lang w:val="en-US" w:eastAsia="zh-CN"/>
              </w:rPr>
              <w:t>采购执行清单规定的技术参数提供相应的设施设备及材料（利用或采购或租赁），满足</w:t>
            </w:r>
            <w:r>
              <w:rPr>
                <w:rFonts w:hint="eastAsia" w:ascii="宋体" w:hAnsi="宋体" w:eastAsia="宋体" w:cs="宋体"/>
                <w:color w:val="auto"/>
                <w:szCs w:val="21"/>
                <w:highlight w:val="none"/>
              </w:rPr>
              <w:t>国家现行质量标准的要求</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安装调试后，设施设备能正常使用，拆除后存放至比选人指定位置并确保设施设备及材料完好</w:t>
            </w:r>
            <w:r>
              <w:rPr>
                <w:rFonts w:hint="eastAsia" w:ascii="宋体" w:hAnsi="宋体" w:cs="宋体"/>
                <w:color w:val="auto"/>
                <w:szCs w:val="21"/>
                <w:highlight w:val="none"/>
                <w:lang w:eastAsia="zh-CN"/>
              </w:rPr>
              <w:t>，</w:t>
            </w:r>
            <w:r>
              <w:rPr>
                <w:rFonts w:hint="eastAsia" w:ascii="宋体" w:hAnsi="宋体" w:cs="宋体"/>
                <w:color w:val="auto"/>
                <w:sz w:val="20"/>
                <w:szCs w:val="20"/>
                <w:highlight w:val="none"/>
                <w:lang w:val="en-US" w:eastAsia="zh-CN"/>
              </w:rPr>
              <w:t>并满足</w:t>
            </w:r>
            <w:r>
              <w:rPr>
                <w:rFonts w:hint="eastAsia" w:ascii="宋体" w:hAnsi="宋体" w:eastAsia="宋体" w:cs="宋体"/>
                <w:b w:val="0"/>
                <w:bCs/>
                <w:color w:val="auto"/>
                <w:sz w:val="20"/>
                <w:szCs w:val="20"/>
                <w:highlight w:val="none"/>
                <w:u w:val="none"/>
                <w:lang w:eastAsia="zh-CN"/>
              </w:rPr>
              <w:t>重庆国际光影文化旅游季-重庆市儿童公园光影艺术邀请展</w:t>
            </w:r>
            <w:r>
              <w:rPr>
                <w:rFonts w:hint="eastAsia" w:ascii="宋体" w:hAnsi="宋体" w:eastAsia="宋体" w:cs="宋体"/>
                <w:b w:val="0"/>
                <w:bCs/>
                <w:color w:val="auto"/>
                <w:sz w:val="20"/>
                <w:szCs w:val="20"/>
                <w:highlight w:val="none"/>
                <w:u w:val="none"/>
                <w:lang w:val="en-US" w:eastAsia="zh-CN"/>
              </w:rPr>
              <w:t>方案效果要求。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人资质条件、能力和信誉</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highlight w:val="none"/>
              </w:rPr>
            </w:pPr>
          </w:p>
        </w:tc>
        <w:tc>
          <w:tcPr>
            <w:tcW w:w="6971" w:type="dxa"/>
            <w:noWrap w:val="0"/>
            <w:vAlign w:val="center"/>
          </w:tcPr>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cs="宋体"/>
                <w:color w:val="auto"/>
                <w:highlight w:val="none"/>
                <w:lang w:val="en-US" w:eastAsia="zh-CN"/>
              </w:rPr>
              <w:t>次采购</w:t>
            </w:r>
            <w:r>
              <w:rPr>
                <w:rFonts w:hint="eastAsia" w:ascii="宋体" w:hAnsi="宋体" w:eastAsia="宋体" w:cs="宋体"/>
                <w:color w:val="auto"/>
                <w:highlight w:val="none"/>
              </w:rPr>
              <w:t>比选实行资格后审，</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人应具备以下资格条件：</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cs="宋体"/>
                <w:color w:val="auto"/>
                <w:highlight w:val="none"/>
                <w:lang w:val="en-US" w:eastAsia="zh-CN"/>
              </w:rPr>
              <w:t>1、资格要求：</w:t>
            </w:r>
            <w:r>
              <w:rPr>
                <w:rFonts w:hint="eastAsia" w:ascii="宋体" w:hAnsi="宋体" w:eastAsia="宋体" w:cs="宋体"/>
                <w:color w:val="auto"/>
                <w:highlight w:val="none"/>
              </w:rPr>
              <w:t>具备有效的营业执照</w:t>
            </w:r>
            <w:r>
              <w:rPr>
                <w:rFonts w:hint="eastAsia" w:ascii="宋体" w:hAnsi="宋体" w:cs="宋体"/>
                <w:color w:val="auto"/>
                <w:highlight w:val="none"/>
                <w:lang w:eastAsia="zh-CN"/>
              </w:rPr>
              <w:t>，</w:t>
            </w:r>
            <w:r>
              <w:rPr>
                <w:rFonts w:hint="eastAsia" w:ascii="宋体" w:hAnsi="宋体" w:cs="宋体"/>
                <w:color w:val="auto"/>
                <w:highlight w:val="none"/>
                <w:lang w:val="en-US" w:eastAsia="zh-CN"/>
              </w:rPr>
              <w:t>营业执照经营范围需包含会展经营事项或类似经营事项。</w:t>
            </w:r>
          </w:p>
          <w:p>
            <w:pPr>
              <w:keepNext w:val="0"/>
              <w:keepLines w:val="0"/>
              <w:pageBreakBefore w:val="0"/>
              <w:kinsoku/>
              <w:wordWrap/>
              <w:overflowPunct/>
              <w:topLinePunct w:val="0"/>
              <w:autoSpaceDE/>
              <w:autoSpaceDN/>
              <w:bidi w:val="0"/>
              <w:adjustRightInd/>
              <w:spacing w:line="240" w:lineRule="auto"/>
              <w:ind w:firstLine="630" w:firstLineChars="3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人须在</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文件资格审查部分提供有效的带二维码标识的营业执照复印件。</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rPr>
              <w:t>、业绩</w:t>
            </w:r>
            <w:r>
              <w:rPr>
                <w:rFonts w:hint="eastAsia" w:ascii="宋体" w:hAnsi="宋体" w:cs="宋体"/>
                <w:color w:val="auto"/>
                <w:highlight w:val="none"/>
                <w:lang w:val="en-US" w:eastAsia="zh-CN"/>
              </w:rPr>
              <w:t>要求</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202</w:t>
            </w: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年1月1日至比选截止日至，承担过单个合同金额</w:t>
            </w:r>
            <w:r>
              <w:rPr>
                <w:rFonts w:hint="eastAsia" w:ascii="宋体" w:hAnsi="宋体" w:cs="宋体"/>
                <w:color w:val="auto"/>
                <w:highlight w:val="none"/>
                <w:lang w:val="en-US" w:eastAsia="zh-CN"/>
              </w:rPr>
              <w:t>50</w:t>
            </w:r>
            <w:r>
              <w:rPr>
                <w:rFonts w:hint="eastAsia" w:ascii="宋体" w:hAnsi="宋体" w:eastAsia="宋体" w:cs="宋体"/>
                <w:color w:val="auto"/>
                <w:highlight w:val="none"/>
                <w:lang w:val="en-US" w:eastAsia="zh-CN"/>
              </w:rPr>
              <w:t>万元及以上</w:t>
            </w:r>
            <w:r>
              <w:rPr>
                <w:rFonts w:hint="eastAsia" w:ascii="宋体" w:hAnsi="宋体" w:cs="宋体"/>
                <w:color w:val="auto"/>
                <w:highlight w:val="none"/>
                <w:lang w:val="en-US" w:eastAsia="zh-CN"/>
              </w:rPr>
              <w:t>会展执行或类似</w:t>
            </w:r>
            <w:r>
              <w:rPr>
                <w:rFonts w:hint="eastAsia" w:ascii="宋体" w:hAnsi="宋体" w:eastAsia="宋体" w:cs="宋体"/>
                <w:color w:val="auto"/>
                <w:highlight w:val="none"/>
                <w:lang w:val="en-US" w:eastAsia="zh-CN"/>
              </w:rPr>
              <w:t xml:space="preserve">业绩1个（以合同签订时间及金额为准）。  </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人须在</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文件资格审查部分提供</w:t>
            </w:r>
            <w:r>
              <w:rPr>
                <w:rFonts w:hint="eastAsia" w:ascii="宋体" w:hAnsi="宋体" w:eastAsia="宋体" w:cs="宋体"/>
                <w:color w:val="auto"/>
                <w:highlight w:val="none"/>
                <w:lang w:val="en-US" w:eastAsia="zh-CN"/>
              </w:rPr>
              <w:t>业绩合同复印件，复印件加盖公章。</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截止日</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资格情况</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人自行承诺不得存在下列情形之一：</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（1）被人民法院在“信用中国”网站（www.creditchina.gov.cn）列入失信被执行人名单且在被执行期内；</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（2）被列入《重庆市工程建设领域</w:t>
            </w:r>
            <w:r>
              <w:rPr>
                <w:rFonts w:hint="eastAsia" w:ascii="宋体" w:hAnsi="宋体" w:eastAsia="宋体" w:cs="宋体"/>
                <w:color w:val="auto"/>
                <w:highlight w:val="none"/>
                <w:lang w:eastAsia="zh-CN"/>
              </w:rPr>
              <w:t>比选参选</w:t>
            </w:r>
            <w:r>
              <w:rPr>
                <w:rFonts w:hint="eastAsia" w:ascii="宋体" w:hAnsi="宋体" w:eastAsia="宋体" w:cs="宋体"/>
                <w:color w:val="auto"/>
                <w:highlight w:val="none"/>
              </w:rPr>
              <w:t>信用管理暂行办法》规定的重点关注名单且记分达到12分且在记分有效期内；</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（3）被列入《重庆市工程建设领域</w:t>
            </w:r>
            <w:r>
              <w:rPr>
                <w:rFonts w:hint="eastAsia" w:ascii="宋体" w:hAnsi="宋体" w:eastAsia="宋体" w:cs="宋体"/>
                <w:color w:val="auto"/>
                <w:highlight w:val="none"/>
                <w:lang w:eastAsia="zh-CN"/>
              </w:rPr>
              <w:t>比选参选</w:t>
            </w:r>
            <w:r>
              <w:rPr>
                <w:rFonts w:hint="eastAsia" w:ascii="宋体" w:hAnsi="宋体" w:eastAsia="宋体" w:cs="宋体"/>
                <w:color w:val="auto"/>
                <w:highlight w:val="none"/>
              </w:rPr>
              <w:t>信用管理暂行办法》规定的重庆市工程建设领域</w:t>
            </w:r>
            <w:r>
              <w:rPr>
                <w:rFonts w:hint="eastAsia" w:ascii="宋体" w:hAnsi="宋体" w:eastAsia="宋体" w:cs="宋体"/>
                <w:color w:val="auto"/>
                <w:highlight w:val="none"/>
                <w:lang w:eastAsia="zh-CN"/>
              </w:rPr>
              <w:t>比选参选</w:t>
            </w:r>
            <w:r>
              <w:rPr>
                <w:rFonts w:hint="eastAsia" w:ascii="宋体" w:hAnsi="宋体" w:eastAsia="宋体" w:cs="宋体"/>
                <w:color w:val="auto"/>
                <w:highlight w:val="none"/>
              </w:rPr>
              <w:t>失信惩戒对象名单（以下称黑名单）且在记分有效期内；</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（4）被国家、重庆市（含市或任意区县）有关行政部门处以暂停</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资格行政处罚，且在处罚期限内；</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（5）被重庆市建设主管部门暂停在渝承揽新业务且在暂停期内；</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（6）被责令停业，暂扣或吊销执照，或吊销资质证书；</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（7）进入清算程序，或被宣告破产，或其他丧失履约能力的情形；</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）在国家企业信用信息公示系统（http://www.gsxt.gov.cn/）中被列入严重违法失信企业名单；</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（9）</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人或其法定代表人在近两年内有行贿犯罪行为。</w:t>
            </w:r>
          </w:p>
          <w:p>
            <w:pPr>
              <w:pStyle w:val="21"/>
              <w:keepNext w:val="0"/>
              <w:keepLines w:val="0"/>
              <w:pageBreakBefore w:val="0"/>
              <w:kinsoku/>
              <w:wordWrap/>
              <w:overflowPunct/>
              <w:topLinePunct w:val="0"/>
              <w:autoSpaceDE/>
              <w:autoSpaceDN/>
              <w:bidi w:val="0"/>
              <w:adjustRightInd/>
              <w:spacing w:line="240" w:lineRule="auto"/>
              <w:ind w:firstLine="630" w:firstLineChars="30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参选人须在参选文件资格审查部分提供承诺（格式自拟</w:t>
            </w:r>
            <w:r>
              <w:rPr>
                <w:rFonts w:hint="eastAsia" w:ascii="宋体" w:hAnsi="宋体" w:cs="宋体"/>
                <w:color w:val="auto"/>
                <w:kern w:val="2"/>
                <w:sz w:val="21"/>
                <w:szCs w:val="24"/>
                <w:highlight w:val="none"/>
                <w:lang w:val="en-US" w:eastAsia="zh-CN" w:bidi="ar-SA"/>
              </w:rPr>
              <w:t>，也可参考第六章参选文件格式中承诺格式）</w:t>
            </w:r>
            <w:r>
              <w:rPr>
                <w:rFonts w:hint="eastAsia" w:ascii="宋体" w:hAnsi="宋体" w:eastAsia="宋体" w:cs="宋体"/>
                <w:color w:val="auto"/>
                <w:kern w:val="2"/>
                <w:sz w:val="21"/>
                <w:szCs w:val="24"/>
                <w:highlight w:val="none"/>
                <w:lang w:val="en-US" w:eastAsia="zh-CN" w:bidi="ar-SA"/>
              </w:rPr>
              <w:t>。</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cs="宋体"/>
                <w:color w:val="auto"/>
                <w:highlight w:val="none"/>
                <w:lang w:val="en-US" w:eastAsia="zh-CN"/>
              </w:rPr>
              <w:t>4</w:t>
            </w:r>
            <w:r>
              <w:rPr>
                <w:rFonts w:hint="eastAsia" w:ascii="宋体" w:hAnsi="宋体" w:eastAsia="宋体" w:cs="宋体"/>
                <w:color w:val="auto"/>
                <w:highlight w:val="none"/>
              </w:rPr>
              <w:t>、其他要求</w:t>
            </w:r>
          </w:p>
          <w:p>
            <w:pPr>
              <w:keepNext w:val="0"/>
              <w:keepLines w:val="0"/>
              <w:pageBreakBefore w:val="0"/>
              <w:kinsoku/>
              <w:wordWrap/>
              <w:overflowPunct/>
              <w:topLinePunct w:val="0"/>
              <w:autoSpaceDE/>
              <w:autoSpaceDN/>
              <w:bidi w:val="0"/>
              <w:adjustRightInd/>
              <w:spacing w:line="240" w:lineRule="auto"/>
              <w:ind w:firstLine="420"/>
              <w:textAlignment w:val="auto"/>
              <w:rPr>
                <w:rFonts w:hint="eastAsia" w:ascii="宋体" w:hAnsi="宋体" w:eastAsia="宋体" w:cs="宋体"/>
                <w:color w:val="auto"/>
                <w:highlight w:val="none"/>
              </w:rPr>
            </w:pPr>
            <w:r>
              <w:rPr>
                <w:rFonts w:hint="eastAsia" w:ascii="宋体" w:hAnsi="宋体" w:cs="宋体"/>
                <w:color w:val="auto"/>
                <w:highlight w:val="none"/>
                <w:lang w:val="en-US" w:eastAsia="zh-CN"/>
              </w:rPr>
              <w:t>4.1</w:t>
            </w:r>
            <w:r>
              <w:rPr>
                <w:rFonts w:hint="eastAsia" w:ascii="宋体" w:hAnsi="宋体" w:eastAsia="宋体" w:cs="宋体"/>
                <w:color w:val="auto"/>
                <w:highlight w:val="none"/>
              </w:rPr>
              <w:t>委托代理人必须为</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人本单位人员</w:t>
            </w:r>
            <w:r>
              <w:rPr>
                <w:rFonts w:hint="eastAsia" w:ascii="宋体" w:hAnsi="宋体" w:cs="宋体"/>
                <w:color w:val="auto"/>
                <w:highlight w:val="none"/>
                <w:lang w:eastAsia="zh-CN"/>
              </w:rPr>
              <w:t>，</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人须在</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文件资格审查部分须提供本单位为其缴纳的202</w:t>
            </w:r>
            <w:r>
              <w:rPr>
                <w:rFonts w:hint="eastAsia" w:ascii="宋体" w:hAnsi="宋体" w:cs="宋体"/>
                <w:color w:val="auto"/>
                <w:highlight w:val="none"/>
                <w:lang w:val="en-US" w:eastAsia="zh-CN"/>
              </w:rPr>
              <w:t>5</w:t>
            </w:r>
            <w:r>
              <w:rPr>
                <w:rFonts w:hint="eastAsia" w:ascii="宋体" w:hAnsi="宋体" w:eastAsia="宋体" w:cs="宋体"/>
                <w:color w:val="auto"/>
                <w:highlight w:val="none"/>
              </w:rPr>
              <w:t>年</w:t>
            </w:r>
            <w:r>
              <w:rPr>
                <w:rFonts w:hint="eastAsia" w:ascii="宋体" w:hAnsi="宋体" w:cs="宋体"/>
                <w:color w:val="auto"/>
                <w:highlight w:val="none"/>
                <w:lang w:val="en-US" w:eastAsia="zh-CN"/>
              </w:rPr>
              <w:t>1</w:t>
            </w:r>
            <w:r>
              <w:rPr>
                <w:rFonts w:hint="eastAsia" w:ascii="宋体" w:hAnsi="宋体" w:eastAsia="宋体" w:cs="宋体"/>
                <w:color w:val="auto"/>
                <w:highlight w:val="none"/>
              </w:rPr>
              <w:t>月至202</w:t>
            </w:r>
            <w:r>
              <w:rPr>
                <w:rFonts w:hint="eastAsia" w:ascii="宋体" w:hAnsi="宋体" w:cs="宋体"/>
                <w:color w:val="auto"/>
                <w:highlight w:val="none"/>
                <w:lang w:val="en-US" w:eastAsia="zh-CN"/>
              </w:rPr>
              <w:t>5</w:t>
            </w:r>
            <w:r>
              <w:rPr>
                <w:rFonts w:hint="eastAsia" w:ascii="宋体" w:hAnsi="宋体" w:eastAsia="宋体" w:cs="宋体"/>
                <w:color w:val="auto"/>
                <w:highlight w:val="none"/>
              </w:rPr>
              <w:t>年</w:t>
            </w:r>
            <w:r>
              <w:rPr>
                <w:rFonts w:hint="eastAsia" w:ascii="宋体" w:hAnsi="宋体" w:cs="宋体"/>
                <w:color w:val="auto"/>
                <w:highlight w:val="none"/>
                <w:lang w:val="en-US" w:eastAsia="zh-CN"/>
              </w:rPr>
              <w:t>11</w:t>
            </w:r>
            <w:r>
              <w:rPr>
                <w:rFonts w:hint="eastAsia" w:ascii="宋体" w:hAnsi="宋体" w:eastAsia="宋体" w:cs="宋体"/>
                <w:color w:val="auto"/>
                <w:highlight w:val="none"/>
              </w:rPr>
              <w:t>月的连续养老保险参保证明，养老保险参保证明必须包含身份证号（或社保号）和参保基本情况、参保缴费明细（养老保险），并带有社保部门公章或社保部门的有效电子印章及查询码。且上述相关证明材料复印件均应加盖</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单位公章。否则，将由比选小组否决</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处理。</w:t>
            </w:r>
          </w:p>
          <w:p>
            <w:pPr>
              <w:keepNext w:val="0"/>
              <w:keepLines w:val="0"/>
              <w:pageBreakBefore w:val="0"/>
              <w:kinsoku/>
              <w:wordWrap/>
              <w:overflowPunct/>
              <w:topLinePunct w:val="0"/>
              <w:autoSpaceDE/>
              <w:autoSpaceDN/>
              <w:bidi w:val="0"/>
              <w:adjustRightInd/>
              <w:spacing w:line="240" w:lineRule="auto"/>
              <w:ind w:firstLine="420" w:firstLine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t>注：</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文件递交时由</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人法定代表人或委托代理人持本人身份证原件、法定代表人身份证明原件（委托代理人须持法定代表人授权委托书原件）、营业执照和本单位为其缴纳的202</w:t>
            </w:r>
            <w:r>
              <w:rPr>
                <w:rFonts w:hint="eastAsia" w:ascii="宋体" w:hAnsi="宋体" w:cs="宋体"/>
                <w:color w:val="auto"/>
                <w:highlight w:val="none"/>
                <w:lang w:val="en-US" w:eastAsia="zh-CN"/>
              </w:rPr>
              <w:t>5</w:t>
            </w:r>
            <w:r>
              <w:rPr>
                <w:rFonts w:hint="eastAsia" w:ascii="宋体" w:hAnsi="宋体" w:eastAsia="宋体" w:cs="宋体"/>
                <w:color w:val="auto"/>
                <w:highlight w:val="none"/>
              </w:rPr>
              <w:t>年</w:t>
            </w:r>
            <w:r>
              <w:rPr>
                <w:rFonts w:hint="eastAsia" w:ascii="宋体" w:hAnsi="宋体" w:cs="宋体"/>
                <w:color w:val="auto"/>
                <w:highlight w:val="none"/>
                <w:lang w:val="en-US" w:eastAsia="zh-CN"/>
              </w:rPr>
              <w:t>1</w:t>
            </w:r>
            <w:r>
              <w:rPr>
                <w:rFonts w:hint="eastAsia" w:ascii="宋体" w:hAnsi="宋体" w:eastAsia="宋体" w:cs="宋体"/>
                <w:color w:val="auto"/>
                <w:highlight w:val="none"/>
              </w:rPr>
              <w:t>月至202</w:t>
            </w:r>
            <w:r>
              <w:rPr>
                <w:rFonts w:hint="eastAsia" w:ascii="宋体" w:hAnsi="宋体" w:cs="宋体"/>
                <w:color w:val="auto"/>
                <w:highlight w:val="none"/>
                <w:lang w:val="en-US" w:eastAsia="zh-CN"/>
              </w:rPr>
              <w:t>5</w:t>
            </w:r>
            <w:r>
              <w:rPr>
                <w:rFonts w:hint="eastAsia" w:ascii="宋体" w:hAnsi="宋体" w:eastAsia="宋体" w:cs="宋体"/>
                <w:color w:val="auto"/>
                <w:highlight w:val="none"/>
              </w:rPr>
              <w:t>年</w:t>
            </w:r>
            <w:r>
              <w:rPr>
                <w:rFonts w:hint="eastAsia" w:ascii="宋体" w:hAnsi="宋体" w:cs="宋体"/>
                <w:color w:val="auto"/>
                <w:highlight w:val="none"/>
                <w:lang w:val="en-US" w:eastAsia="zh-CN"/>
              </w:rPr>
              <w:t>11</w:t>
            </w:r>
            <w:r>
              <w:rPr>
                <w:rFonts w:hint="eastAsia" w:ascii="宋体" w:hAnsi="宋体" w:eastAsia="宋体" w:cs="宋体"/>
                <w:color w:val="auto"/>
                <w:highlight w:val="none"/>
              </w:rPr>
              <w:t>月社保证明（复印件加盖公章）以确认其身份合法有效。若经核实委托代理人提供资料与实际不符的，不得参加开标会议。</w:t>
            </w:r>
          </w:p>
          <w:p>
            <w:pPr>
              <w:keepNext w:val="0"/>
              <w:keepLines w:val="0"/>
              <w:pageBreakBefore w:val="0"/>
              <w:kinsoku/>
              <w:wordWrap/>
              <w:overflowPunct/>
              <w:topLinePunct w:val="0"/>
              <w:autoSpaceDE/>
              <w:autoSpaceDN/>
              <w:bidi w:val="0"/>
              <w:adjustRightInd/>
              <w:spacing w:line="240" w:lineRule="auto"/>
              <w:ind w:firstLine="420" w:firstLineChars="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4.2本次比选不接受联合体参选。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踏勘现场</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参选</w:t>
            </w:r>
            <w:r>
              <w:rPr>
                <w:rFonts w:hint="eastAsia" w:ascii="宋体" w:hAnsi="宋体" w:eastAsia="宋体" w:cs="宋体"/>
                <w:color w:val="auto"/>
                <w:kern w:val="0"/>
                <w:szCs w:val="21"/>
                <w:highlight w:val="none"/>
              </w:rPr>
              <w:t>人提出问题的截止时间</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参选人在收到公开比选文件后，应仔细检查公开比选文件的所有内容，如有残缺或文字表述不清，图纸尺寸标注不明以及在错、碰、漏、缺、概念模糊和有可能出现歧义或理解上的偏差的内容等应在</w:t>
            </w:r>
            <w:r>
              <w:rPr>
                <w:rFonts w:hint="eastAsia" w:ascii="宋体" w:hAnsi="宋体" w:eastAsia="宋体" w:cs="宋体"/>
                <w:color w:val="auto"/>
                <w:szCs w:val="21"/>
                <w:highlight w:val="none"/>
                <w:u w:val="single"/>
                <w:lang w:val="zh-CN"/>
              </w:rPr>
              <w:t>202</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lang w:val="zh-CN"/>
              </w:rPr>
              <w:t>年</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12</w:t>
            </w:r>
            <w:r>
              <w:rPr>
                <w:rFonts w:hint="eastAsia" w:ascii="宋体" w:hAnsi="宋体" w:eastAsia="宋体" w:cs="宋体"/>
                <w:color w:val="auto"/>
                <w:szCs w:val="21"/>
                <w:highlight w:val="none"/>
                <w:u w:val="single"/>
                <w:lang w:val="en-US" w:eastAsia="zh-CN"/>
              </w:rPr>
              <w:t>月</w:t>
            </w:r>
            <w:r>
              <w:rPr>
                <w:rFonts w:hint="eastAsia" w:ascii="宋体" w:hAnsi="宋体" w:cs="宋体"/>
                <w:color w:val="auto"/>
                <w:szCs w:val="21"/>
                <w:highlight w:val="none"/>
                <w:u w:val="single"/>
                <w:lang w:val="en-US" w:eastAsia="zh-CN"/>
              </w:rPr>
              <w:t>15</w:t>
            </w:r>
            <w:r>
              <w:rPr>
                <w:rFonts w:hint="eastAsia" w:ascii="宋体" w:hAnsi="宋体" w:eastAsia="宋体" w:cs="宋体"/>
                <w:color w:val="auto"/>
                <w:szCs w:val="21"/>
                <w:highlight w:val="none"/>
                <w:u w:val="single"/>
                <w:lang w:val="zh-CN"/>
              </w:rPr>
              <w:t>日</w:t>
            </w:r>
            <w:r>
              <w:rPr>
                <w:rFonts w:hint="eastAsia" w:ascii="宋体" w:hAnsi="宋体" w:eastAsia="宋体" w:cs="宋体"/>
                <w:color w:val="auto"/>
                <w:szCs w:val="21"/>
                <w:highlight w:val="none"/>
                <w:u w:val="single"/>
              </w:rPr>
              <w:t>12</w:t>
            </w:r>
            <w:r>
              <w:rPr>
                <w:rFonts w:hint="eastAsia" w:ascii="宋体" w:hAnsi="宋体" w:eastAsia="宋体" w:cs="宋体"/>
                <w:color w:val="auto"/>
                <w:szCs w:val="21"/>
                <w:highlight w:val="none"/>
                <w:u w:val="single"/>
                <w:lang w:val="zh-CN"/>
              </w:rPr>
              <w:t>时00分</w:t>
            </w:r>
            <w:r>
              <w:rPr>
                <w:rFonts w:hint="eastAsia" w:ascii="宋体" w:hAnsi="宋体" w:eastAsia="宋体" w:cs="宋体"/>
                <w:color w:val="auto"/>
                <w:szCs w:val="21"/>
                <w:highlight w:val="none"/>
                <w:lang w:val="zh-CN"/>
              </w:rPr>
              <w:t>前</w:t>
            </w:r>
            <w:r>
              <w:rPr>
                <w:rFonts w:hint="eastAsia" w:ascii="宋体" w:hAnsi="宋体" w:eastAsia="宋体" w:cs="宋体"/>
                <w:color w:val="auto"/>
                <w:szCs w:val="21"/>
                <w:highlight w:val="none"/>
              </w:rPr>
              <w:t>以书面的形式提交给</w:t>
            </w:r>
            <w:r>
              <w:rPr>
                <w:rFonts w:hint="eastAsia" w:ascii="宋体" w:hAnsi="宋体" w:cs="宋体"/>
                <w:color w:val="auto"/>
                <w:szCs w:val="21"/>
                <w:highlight w:val="none"/>
                <w:lang w:val="en-US" w:eastAsia="zh-CN"/>
              </w:rPr>
              <w:t>比选人</w:t>
            </w:r>
            <w:r>
              <w:rPr>
                <w:rFonts w:hint="eastAsia" w:ascii="宋体" w:hAnsi="宋体" w:eastAsia="宋体" w:cs="宋体"/>
                <w:color w:val="auto"/>
                <w:szCs w:val="21"/>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比选人书面澄清、修改的时间</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如比选人有必要对比选文件内容进行澄清的，将在</w:t>
            </w:r>
            <w:r>
              <w:rPr>
                <w:rFonts w:hint="eastAsia" w:ascii="宋体" w:hAnsi="宋体" w:eastAsia="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rPr>
              <w:t>年</w:t>
            </w:r>
            <w:r>
              <w:rPr>
                <w:rFonts w:hint="eastAsia" w:ascii="宋体" w:hAnsi="宋体" w:cs="宋体"/>
                <w:color w:val="auto"/>
                <w:szCs w:val="21"/>
                <w:highlight w:val="none"/>
                <w:u w:val="single"/>
                <w:lang w:val="en-US" w:eastAsia="zh-CN"/>
              </w:rPr>
              <w:t>12</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15</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val="en-US" w:eastAsia="zh-CN"/>
              </w:rPr>
              <w:t>24</w:t>
            </w:r>
            <w:r>
              <w:rPr>
                <w:rFonts w:hint="eastAsia" w:ascii="宋体" w:hAnsi="宋体" w:eastAsia="宋体" w:cs="宋体"/>
                <w:color w:val="auto"/>
                <w:szCs w:val="21"/>
                <w:highlight w:val="none"/>
                <w:u w:val="single"/>
              </w:rPr>
              <w:t>：00（北京时间</w:t>
            </w:r>
            <w:r>
              <w:rPr>
                <w:rFonts w:hint="eastAsia" w:ascii="宋体" w:hAnsi="宋体" w:eastAsia="宋体" w:cs="宋体"/>
                <w:color w:val="auto"/>
                <w:szCs w:val="21"/>
                <w:highlight w:val="none"/>
              </w:rPr>
              <w:t>），比选人</w:t>
            </w:r>
            <w:r>
              <w:rPr>
                <w:rFonts w:hint="eastAsia" w:ascii="宋体" w:hAnsi="宋体" w:eastAsia="宋体" w:cs="宋体"/>
                <w:color w:val="auto"/>
                <w:szCs w:val="21"/>
                <w:highlight w:val="none"/>
                <w:lang w:val="en-US" w:eastAsia="zh-CN"/>
              </w:rPr>
              <w:t>在重庆山水城文化旅游发展有限公司官网（http://www.cqsswl.com/）</w:t>
            </w:r>
            <w:r>
              <w:rPr>
                <w:rFonts w:hint="eastAsia" w:ascii="宋体" w:hAnsi="宋体" w:eastAsia="宋体" w:cs="宋体"/>
                <w:color w:val="auto"/>
                <w:szCs w:val="21"/>
                <w:highlight w:val="none"/>
              </w:rPr>
              <w:t>上发布补疑（遗），如补疑（遗）内容影响</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文件制作的，将相应延长比选文件递交时间。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构成比选文件的其他材料</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比选人发出的答疑、澄清或比选文件的修改（若有）等；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lang w:eastAsia="zh-CN"/>
              </w:rPr>
              <w:t>参选文件</w:t>
            </w:r>
            <w:r>
              <w:rPr>
                <w:rFonts w:hint="eastAsia" w:ascii="宋体" w:hAnsi="宋体" w:eastAsia="宋体" w:cs="宋体"/>
                <w:snapToGrid w:val="0"/>
                <w:color w:val="auto"/>
                <w:kern w:val="0"/>
                <w:szCs w:val="21"/>
                <w:highlight w:val="none"/>
              </w:rPr>
              <w:t>的组成</w:t>
            </w:r>
          </w:p>
        </w:tc>
        <w:tc>
          <w:tcPr>
            <w:tcW w:w="6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由</w:t>
            </w:r>
            <w:r>
              <w:rPr>
                <w:rFonts w:hint="eastAsia" w:ascii="宋体" w:hAnsi="宋体" w:eastAsia="宋体" w:cs="宋体"/>
                <w:color w:val="auto"/>
                <w:highlight w:val="none"/>
                <w:lang w:eastAsia="zh-CN"/>
              </w:rPr>
              <w:t>参选</w:t>
            </w:r>
            <w:r>
              <w:rPr>
                <w:rFonts w:hint="eastAsia" w:ascii="宋体" w:hAnsi="宋体" w:eastAsia="宋体" w:cs="宋体"/>
                <w:color w:val="auto"/>
                <w:highlight w:val="none"/>
              </w:rPr>
              <w:t>函部分、资格审查部分</w:t>
            </w:r>
            <w:r>
              <w:rPr>
                <w:rFonts w:hint="eastAsia" w:ascii="宋体" w:hAnsi="宋体" w:eastAsia="宋体" w:cs="宋体"/>
                <w:color w:val="auto"/>
                <w:highlight w:val="none"/>
                <w:lang w:val="en-US" w:eastAsia="zh-CN"/>
              </w:rPr>
              <w:t>组成</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1730" w:type="dxa"/>
            <w:noWrap w:val="0"/>
            <w:vAlign w:val="center"/>
          </w:tcPr>
          <w:p>
            <w:pPr>
              <w:keepNext w:val="0"/>
              <w:keepLines w:val="0"/>
              <w:pageBreakBefore w:val="0"/>
              <w:tabs>
                <w:tab w:val="left" w:pos="546"/>
                <w:tab w:val="left" w:pos="711"/>
              </w:tabs>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比选报价</w:t>
            </w:r>
          </w:p>
        </w:tc>
        <w:tc>
          <w:tcPr>
            <w:tcW w:w="6971" w:type="dxa"/>
            <w:noWrap w:val="0"/>
            <w:vAlign w:val="center"/>
          </w:tcPr>
          <w:p>
            <w:pPr>
              <w:keepNext w:val="0"/>
              <w:keepLines w:val="0"/>
              <w:pageBreakBefore w:val="0"/>
              <w:widowControl/>
              <w:suppressLineNumbers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本</w:t>
            </w:r>
            <w:r>
              <w:rPr>
                <w:rFonts w:hint="eastAsia" w:ascii="宋体" w:hAnsi="宋体" w:cs="宋体"/>
                <w:color w:val="auto"/>
                <w:highlight w:val="none"/>
                <w:lang w:val="en-US" w:eastAsia="zh-CN"/>
              </w:rPr>
              <w:t>项目执行</w:t>
            </w:r>
            <w:r>
              <w:rPr>
                <w:rFonts w:hint="eastAsia" w:ascii="宋体" w:hAnsi="宋体" w:eastAsia="宋体" w:cs="宋体"/>
                <w:color w:val="auto"/>
                <w:highlight w:val="none"/>
                <w:lang w:val="en-US" w:eastAsia="zh-CN"/>
              </w:rPr>
              <w:t>采用</w:t>
            </w:r>
            <w:r>
              <w:rPr>
                <w:rFonts w:hint="eastAsia" w:ascii="宋体" w:hAnsi="宋体" w:cs="宋体"/>
                <w:color w:val="auto"/>
                <w:highlight w:val="none"/>
                <w:lang w:val="en-US" w:eastAsia="zh-CN"/>
              </w:rPr>
              <w:t>综合</w:t>
            </w:r>
            <w:r>
              <w:rPr>
                <w:rFonts w:hint="eastAsia" w:ascii="宋体" w:hAnsi="宋体" w:eastAsia="宋体" w:cs="宋体"/>
                <w:color w:val="auto"/>
                <w:highlight w:val="none"/>
                <w:lang w:val="en-US" w:eastAsia="zh-CN"/>
              </w:rPr>
              <w:t>单价合同。参选报价应是本章参选人须知第 7 项中所述的 本</w:t>
            </w:r>
            <w:r>
              <w:rPr>
                <w:rFonts w:hint="eastAsia" w:ascii="宋体" w:hAnsi="宋体" w:cs="宋体"/>
                <w:color w:val="auto"/>
                <w:highlight w:val="none"/>
                <w:lang w:val="en-US" w:eastAsia="zh-CN"/>
              </w:rPr>
              <w:t>执行采购</w:t>
            </w:r>
            <w:r>
              <w:rPr>
                <w:rFonts w:hint="eastAsia" w:ascii="宋体" w:hAnsi="宋体" w:eastAsia="宋体" w:cs="宋体"/>
                <w:color w:val="auto"/>
                <w:highlight w:val="none"/>
                <w:lang w:val="en-US" w:eastAsia="zh-CN"/>
              </w:rPr>
              <w:t xml:space="preserve">公开比选范围内的全部内容。 </w:t>
            </w:r>
          </w:p>
          <w:p>
            <w:pPr>
              <w:keepNext w:val="0"/>
              <w:keepLines w:val="0"/>
              <w:pageBreakBefore w:val="0"/>
              <w:widowControl/>
              <w:suppressLineNumbers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1、计价方式：本工程采用工程量清单综合单价计价。 </w:t>
            </w:r>
          </w:p>
          <w:p>
            <w:pPr>
              <w:keepNext w:val="0"/>
              <w:keepLines w:val="0"/>
              <w:pageBreakBefore w:val="0"/>
              <w:widowControl/>
              <w:suppressLineNumbers w:val="0"/>
              <w:kinsoku/>
              <w:wordWrap/>
              <w:overflowPunct/>
              <w:topLinePunct w:val="0"/>
              <w:autoSpaceDE/>
              <w:autoSpaceDN/>
              <w:bidi w:val="0"/>
              <w:adjustRightInd/>
              <w:spacing w:line="240" w:lineRule="auto"/>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2、参选报价范围：各参选人对比选人提供的</w:t>
            </w:r>
            <w:r>
              <w:rPr>
                <w:rFonts w:hint="eastAsia" w:ascii="宋体" w:hAnsi="宋体" w:cs="宋体"/>
                <w:color w:val="auto"/>
                <w:highlight w:val="none"/>
                <w:lang w:val="en-US" w:eastAsia="zh-CN"/>
              </w:rPr>
              <w:t>执行</w:t>
            </w:r>
            <w:r>
              <w:rPr>
                <w:rFonts w:hint="eastAsia" w:ascii="宋体" w:hAnsi="宋体" w:eastAsia="宋体" w:cs="宋体"/>
                <w:color w:val="auto"/>
                <w:highlight w:val="none"/>
                <w:lang w:val="en-US" w:eastAsia="zh-CN"/>
              </w:rPr>
              <w:t>清单，结合</w:t>
            </w:r>
            <w:r>
              <w:rPr>
                <w:rFonts w:hint="eastAsia" w:ascii="宋体" w:hAnsi="宋体" w:cs="宋体"/>
                <w:color w:val="auto"/>
                <w:highlight w:val="none"/>
                <w:lang w:val="en-US" w:eastAsia="zh-CN"/>
              </w:rPr>
              <w:t>展览方案和参选人自身情况</w:t>
            </w:r>
            <w:r>
              <w:rPr>
                <w:rFonts w:hint="eastAsia" w:ascii="宋体" w:hAnsi="宋体" w:eastAsia="宋体" w:cs="宋体"/>
                <w:color w:val="auto"/>
                <w:highlight w:val="none"/>
                <w:lang w:val="en-US" w:eastAsia="zh-CN"/>
              </w:rPr>
              <w:t xml:space="preserve">进行报价。 </w:t>
            </w:r>
          </w:p>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3、报价原则：本</w:t>
            </w:r>
            <w:r>
              <w:rPr>
                <w:rFonts w:hint="eastAsia" w:ascii="宋体" w:hAnsi="宋体" w:cs="宋体"/>
                <w:color w:val="auto"/>
                <w:highlight w:val="none"/>
                <w:lang w:val="en-US" w:eastAsia="zh-CN"/>
              </w:rPr>
              <w:t>项目执行设定总价最高限价为95.33万元，</w:t>
            </w:r>
            <w:r>
              <w:rPr>
                <w:rFonts w:hint="eastAsia"/>
                <w:color w:val="000000"/>
                <w:szCs w:val="21"/>
              </w:rPr>
              <w:t>费用包含：</w:t>
            </w:r>
            <w:r>
              <w:rPr>
                <w:rFonts w:hint="eastAsia"/>
                <w:color w:val="000000"/>
                <w:szCs w:val="21"/>
                <w:lang w:val="en-US" w:eastAsia="zh-CN"/>
              </w:rPr>
              <w:t>整体方案</w:t>
            </w:r>
            <w:r>
              <w:rPr>
                <w:rFonts w:hint="eastAsia"/>
                <w:color w:val="000000"/>
                <w:szCs w:val="21"/>
              </w:rPr>
              <w:t>执行</w:t>
            </w:r>
            <w:r>
              <w:rPr>
                <w:rFonts w:hint="eastAsia"/>
                <w:color w:val="000000"/>
                <w:szCs w:val="21"/>
                <w:lang w:val="en-US" w:eastAsia="zh-CN"/>
              </w:rPr>
              <w:t>费用</w:t>
            </w:r>
            <w:r>
              <w:rPr>
                <w:rFonts w:hint="eastAsia"/>
                <w:color w:val="000000"/>
                <w:szCs w:val="21"/>
                <w:lang w:eastAsia="zh-CN"/>
              </w:rPr>
              <w:t>；</w:t>
            </w:r>
            <w:r>
              <w:rPr>
                <w:rFonts w:hint="eastAsia"/>
                <w:color w:val="000000"/>
                <w:szCs w:val="21"/>
                <w:lang w:val="en-US" w:eastAsia="zh-CN"/>
              </w:rPr>
              <w:t>甲方自有设施设备的搬运、安装、拆卸费；需采购设施设及材料的</w:t>
            </w:r>
            <w:r>
              <w:rPr>
                <w:rFonts w:hint="eastAsia"/>
                <w:color w:val="000000"/>
                <w:szCs w:val="21"/>
              </w:rPr>
              <w:t>购买</w:t>
            </w:r>
            <w:r>
              <w:rPr>
                <w:rFonts w:hint="eastAsia"/>
                <w:color w:val="000000"/>
                <w:szCs w:val="21"/>
                <w:lang w:val="en-US" w:eastAsia="zh-CN"/>
              </w:rPr>
              <w:t>费</w:t>
            </w:r>
            <w:r>
              <w:rPr>
                <w:rFonts w:hint="eastAsia"/>
                <w:color w:val="000000"/>
                <w:szCs w:val="21"/>
                <w:lang w:eastAsia="zh-CN"/>
              </w:rPr>
              <w:t>；</w:t>
            </w:r>
            <w:r>
              <w:rPr>
                <w:rFonts w:hint="eastAsia"/>
                <w:color w:val="000000"/>
                <w:szCs w:val="21"/>
                <w:lang w:val="en-US" w:eastAsia="zh-CN"/>
              </w:rPr>
              <w:t>需租赁设施设备及材料的租赁费；完成执行清单和方案中所有设施设备</w:t>
            </w:r>
            <w:r>
              <w:rPr>
                <w:rFonts w:hint="eastAsia"/>
                <w:color w:val="000000"/>
                <w:szCs w:val="21"/>
              </w:rPr>
              <w:t>搭建</w:t>
            </w:r>
            <w:r>
              <w:rPr>
                <w:rFonts w:hint="eastAsia"/>
                <w:color w:val="000000"/>
                <w:szCs w:val="21"/>
                <w:lang w:eastAsia="zh-CN"/>
              </w:rPr>
              <w:t>、</w:t>
            </w:r>
            <w:r>
              <w:rPr>
                <w:rFonts w:hint="eastAsia"/>
                <w:color w:val="000000"/>
                <w:szCs w:val="21"/>
                <w:lang w:val="en-US" w:eastAsia="zh-CN"/>
              </w:rPr>
              <w:t>安装、调试、运行保障、拆除、搬运等所需的人工、机械设备、材料、管理费、</w:t>
            </w:r>
            <w:r>
              <w:rPr>
                <w:rFonts w:hint="eastAsia"/>
                <w:color w:val="000000"/>
                <w:szCs w:val="21"/>
              </w:rPr>
              <w:t>税费</w:t>
            </w:r>
            <w:r>
              <w:rPr>
                <w:rFonts w:hint="eastAsia"/>
                <w:szCs w:val="21"/>
              </w:rPr>
              <w:t>等</w:t>
            </w:r>
            <w:r>
              <w:rPr>
                <w:rFonts w:hint="eastAsia"/>
                <w:color w:val="000000"/>
                <w:szCs w:val="21"/>
              </w:rPr>
              <w:t>本合同产生的所有费用</w:t>
            </w:r>
            <w:r>
              <w:rPr>
                <w:rFonts w:hint="eastAsia"/>
                <w:color w:val="000000"/>
                <w:szCs w:val="21"/>
                <w:lang w:eastAsia="zh-CN"/>
              </w:rPr>
              <w:t>。</w:t>
            </w:r>
            <w:r>
              <w:rPr>
                <w:rFonts w:hint="eastAsia" w:ascii="宋体" w:hAnsi="宋体" w:cs="宋体"/>
                <w:color w:val="auto"/>
                <w:highlight w:val="none"/>
                <w:lang w:val="en-US" w:eastAsia="zh-CN"/>
              </w:rPr>
              <w:t>各参选人按照执行清单逐项报价，总价不得超过设定的总价最高限价，</w:t>
            </w:r>
            <w:r>
              <w:rPr>
                <w:rFonts w:hint="eastAsia" w:ascii="宋体" w:hAnsi="宋体" w:eastAsia="宋体" w:cs="宋体"/>
                <w:color w:val="auto"/>
                <w:highlight w:val="none"/>
                <w:lang w:val="en-US" w:eastAsia="zh-CN"/>
              </w:rPr>
              <w:t>否则</w:t>
            </w:r>
            <w:r>
              <w:rPr>
                <w:rFonts w:hint="eastAsia" w:ascii="宋体" w:hAnsi="宋体" w:cs="宋体"/>
                <w:color w:val="auto"/>
                <w:highlight w:val="none"/>
                <w:lang w:val="en-US" w:eastAsia="zh-CN"/>
              </w:rPr>
              <w:t>公开比选</w:t>
            </w:r>
            <w:r>
              <w:rPr>
                <w:rFonts w:hint="eastAsia" w:ascii="宋体" w:hAnsi="宋体" w:eastAsia="宋体" w:cs="宋体"/>
                <w:color w:val="auto"/>
                <w:highlight w:val="none"/>
                <w:lang w:val="en-US" w:eastAsia="zh-CN"/>
              </w:rPr>
              <w:t>委员会将</w:t>
            </w:r>
            <w:r>
              <w:rPr>
                <w:rFonts w:hint="eastAsia" w:ascii="宋体" w:hAnsi="宋体" w:cs="宋体"/>
                <w:color w:val="auto"/>
                <w:highlight w:val="none"/>
                <w:lang w:val="en-US" w:eastAsia="zh-CN"/>
              </w:rPr>
              <w:t>否决其报价，取消其中选资格</w:t>
            </w:r>
            <w:r>
              <w:rPr>
                <w:rFonts w:hint="eastAsia" w:ascii="宋体" w:hAnsi="宋体" w:eastAsia="宋体" w:cs="宋体"/>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w:t>
            </w:r>
          </w:p>
        </w:tc>
        <w:tc>
          <w:tcPr>
            <w:tcW w:w="1730" w:type="dxa"/>
            <w:noWrap w:val="0"/>
            <w:vAlign w:val="center"/>
          </w:tcPr>
          <w:p>
            <w:pPr>
              <w:keepNext w:val="0"/>
              <w:keepLines w:val="0"/>
              <w:pageBreakBefore w:val="0"/>
              <w:tabs>
                <w:tab w:val="left" w:pos="546"/>
                <w:tab w:val="left" w:pos="711"/>
              </w:tabs>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结算原则</w:t>
            </w:r>
          </w:p>
        </w:tc>
        <w:tc>
          <w:tcPr>
            <w:tcW w:w="6971" w:type="dxa"/>
            <w:noWrap w:val="0"/>
            <w:vAlign w:val="center"/>
          </w:tcPr>
          <w:p>
            <w:pPr>
              <w:keepNext w:val="0"/>
              <w:keepLines w:val="0"/>
              <w:pageBreakBefore w:val="0"/>
              <w:widowControl/>
              <w:numPr>
                <w:ilvl w:val="0"/>
                <w:numId w:val="0"/>
              </w:numPr>
              <w:kinsoku/>
              <w:wordWrap/>
              <w:overflowPunct/>
              <w:topLinePunct w:val="0"/>
              <w:autoSpaceDE/>
              <w:autoSpaceDN/>
              <w:bidi w:val="0"/>
              <w:adjustRightInd/>
              <w:spacing w:line="240" w:lineRule="auto"/>
              <w:jc w:val="left"/>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按照执行清单的中选综合单价在总限价范围内据实</w:t>
            </w:r>
            <w:r>
              <w:rPr>
                <w:rFonts w:hint="eastAsia" w:ascii="宋体" w:hAnsi="宋体" w:eastAsia="宋体" w:cs="宋体"/>
                <w:color w:val="auto"/>
                <w:highlight w:val="none"/>
                <w:lang w:val="en-US" w:eastAsia="zh-CN"/>
              </w:rPr>
              <w:t>结算</w:t>
            </w:r>
            <w:r>
              <w:rPr>
                <w:rFonts w:hint="eastAsia" w:ascii="宋体" w:hAnsi="宋体" w:cs="宋体"/>
                <w:color w:val="auto"/>
                <w:highlight w:val="none"/>
                <w:lang w:val="en-US" w:eastAsia="zh-CN"/>
              </w:rPr>
              <w:t>，</w:t>
            </w:r>
            <w:r>
              <w:rPr>
                <w:rFonts w:hint="eastAsia" w:ascii="宋体" w:hAnsi="宋体"/>
                <w:szCs w:val="21"/>
              </w:rPr>
              <w:t>在</w:t>
            </w:r>
            <w:r>
              <w:rPr>
                <w:rFonts w:hint="eastAsia" w:ascii="宋体" w:hAnsi="宋体"/>
                <w:szCs w:val="21"/>
                <w:lang w:val="en-US" w:eastAsia="zh-CN"/>
              </w:rPr>
              <w:t>本项目</w:t>
            </w:r>
            <w:r>
              <w:rPr>
                <w:rFonts w:hint="eastAsia" w:ascii="宋体" w:hAnsi="宋体"/>
                <w:szCs w:val="21"/>
              </w:rPr>
              <w:t>实际执行过程中需增</w:t>
            </w:r>
            <w:r>
              <w:rPr>
                <w:rFonts w:hint="eastAsia" w:ascii="宋体" w:hAnsi="宋体"/>
                <w:szCs w:val="21"/>
                <w:lang w:val="en-US" w:eastAsia="zh-CN"/>
              </w:rPr>
              <w:t>加执行清单以外的设施设备及材料的</w:t>
            </w:r>
            <w:r>
              <w:rPr>
                <w:rFonts w:hint="eastAsia" w:ascii="宋体" w:hAnsi="宋体"/>
                <w:szCs w:val="21"/>
              </w:rPr>
              <w:t>，须经甲方同意后方可实施，因而引起费用变化的，</w:t>
            </w:r>
            <w:r>
              <w:rPr>
                <w:rFonts w:hint="eastAsia" w:ascii="宋体" w:hAnsi="宋体"/>
                <w:szCs w:val="21"/>
                <w:lang w:val="en-US" w:eastAsia="zh-CN"/>
              </w:rPr>
              <w:t>按双方共同确认的价格纳入合同据实</w:t>
            </w:r>
            <w:r>
              <w:rPr>
                <w:rFonts w:hint="eastAsia" w:ascii="宋体" w:hAnsi="宋体"/>
                <w:szCs w:val="21"/>
              </w:rPr>
              <w:t>结算</w:t>
            </w:r>
            <w:r>
              <w:rPr>
                <w:rFonts w:hint="eastAsia" w:ascii="宋体" w:hAnsi="宋体"/>
                <w:szCs w:val="21"/>
                <w:lang w:eastAsia="zh-CN"/>
              </w:rPr>
              <w:t>，</w:t>
            </w:r>
            <w:r>
              <w:rPr>
                <w:rFonts w:hint="eastAsia" w:ascii="宋体" w:hAnsi="宋体"/>
                <w:szCs w:val="21"/>
                <w:lang w:val="en-US" w:eastAsia="zh-CN"/>
              </w:rPr>
              <w:t>不受执行清单总价限制。新增部分双方因价格无法达成共识的，由甲方委托第三方造价咨询单位核定价格，造价咨询费用由乙方承担（甲乙双方和造价咨询单位签订三方合同，由甲方委托造价咨询内容，由乙方直接支付造价咨询费用，乙方不予支付造价咨询费用的由甲方在执行费用中予以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参</w:t>
            </w:r>
            <w:r>
              <w:rPr>
                <w:rFonts w:hint="eastAsia" w:ascii="宋体" w:hAnsi="宋体" w:eastAsia="宋体" w:cs="宋体"/>
                <w:color w:val="auto"/>
                <w:kern w:val="0"/>
                <w:szCs w:val="21"/>
                <w:highlight w:val="none"/>
              </w:rPr>
              <w:t>选有效期</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90</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eastAsia="zh-CN"/>
              </w:rPr>
              <w:t>参选文件</w:t>
            </w:r>
            <w:r>
              <w:rPr>
                <w:rFonts w:hint="eastAsia" w:ascii="宋体" w:hAnsi="宋体" w:eastAsia="宋体" w:cs="宋体"/>
                <w:color w:val="auto"/>
                <w:szCs w:val="21"/>
                <w:highlight w:val="none"/>
              </w:rPr>
              <w:t>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w:t>
            </w:r>
          </w:p>
        </w:tc>
        <w:tc>
          <w:tcPr>
            <w:tcW w:w="1730" w:type="dxa"/>
            <w:noWrap w:val="0"/>
            <w:vAlign w:val="center"/>
          </w:tcPr>
          <w:p>
            <w:pPr>
              <w:keepNext w:val="0"/>
              <w:keepLines w:val="0"/>
              <w:pageBreakBefore w:val="0"/>
              <w:tabs>
                <w:tab w:val="left" w:pos="546"/>
                <w:tab w:val="left" w:pos="711"/>
              </w:tabs>
              <w:kinsoku/>
              <w:wordWrap/>
              <w:overflowPunct/>
              <w:topLinePunct w:val="0"/>
              <w:autoSpaceDE/>
              <w:autoSpaceDN/>
              <w:bidi w:val="0"/>
              <w:adjustRightInd/>
              <w:snapToGrid w:val="0"/>
              <w:spacing w:line="240" w:lineRule="auto"/>
              <w:ind w:firstLine="210" w:firstLineChars="100"/>
              <w:textAlignment w:val="auto"/>
              <w:rPr>
                <w:rFonts w:hint="eastAsia" w:ascii="宋体" w:hAnsi="宋体" w:eastAsia="宋体" w:cs="宋体"/>
                <w:color w:val="auto"/>
                <w:highlight w:val="green"/>
              </w:rPr>
            </w:pPr>
            <w:r>
              <w:rPr>
                <w:rFonts w:hint="eastAsia" w:ascii="宋体" w:hAnsi="宋体" w:cs="宋体"/>
                <w:color w:val="auto"/>
                <w:highlight w:val="none"/>
                <w:lang w:val="en-US" w:eastAsia="zh-CN"/>
              </w:rPr>
              <w:t>参</w:t>
            </w:r>
            <w:r>
              <w:rPr>
                <w:rFonts w:hint="eastAsia" w:ascii="宋体" w:hAnsi="宋体" w:eastAsia="宋体" w:cs="宋体"/>
                <w:color w:val="auto"/>
                <w:highlight w:val="none"/>
              </w:rPr>
              <w:t>选保证金</w:t>
            </w:r>
          </w:p>
        </w:tc>
        <w:tc>
          <w:tcPr>
            <w:tcW w:w="6971" w:type="dxa"/>
            <w:noWrap w:val="0"/>
            <w:vAlign w:val="center"/>
          </w:tcPr>
          <w:p>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宋体" w:hAnsi="宋体" w:eastAsia="宋体" w:cs="宋体"/>
                <w:color w:val="auto"/>
                <w:highlight w:val="green"/>
                <w:lang w:val="en-US" w:eastAsia="zh-CN"/>
              </w:rPr>
            </w:pPr>
            <w:r>
              <w:rPr>
                <w:rFonts w:hint="eastAsia" w:ascii="宋体" w:hAnsi="宋体" w:cs="宋体"/>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签字盖章要求</w:t>
            </w:r>
          </w:p>
        </w:tc>
        <w:tc>
          <w:tcPr>
            <w:tcW w:w="697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文件应用不褪色的材料书写或打印，并由</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人的法定代表人或其委托代理人在比选文件规定的位置按比选文件要求签字或盖章、盖单位法人章。委托代理人签字的，</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文件应附法定代表人签署的授权委托书。</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文件应尽量避免涂改、行间插字或删除。如果出现上述情况，改动之处应加盖单位法人章或由</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人的法定代表人或其授权的代理人签字确认。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22</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参选文件</w:t>
            </w:r>
            <w:r>
              <w:rPr>
                <w:rFonts w:hint="eastAsia" w:ascii="宋体" w:hAnsi="宋体" w:eastAsia="宋体" w:cs="宋体"/>
                <w:color w:val="auto"/>
                <w:kern w:val="0"/>
                <w:szCs w:val="21"/>
                <w:highlight w:val="none"/>
              </w:rPr>
              <w:t>的份数</w:t>
            </w:r>
          </w:p>
        </w:tc>
        <w:tc>
          <w:tcPr>
            <w:tcW w:w="697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函部分：正本一份，副本</w:t>
            </w:r>
            <w:r>
              <w:rPr>
                <w:rFonts w:hint="eastAsia" w:ascii="宋体" w:hAnsi="宋体" w:eastAsia="宋体" w:cs="宋体"/>
                <w:color w:val="auto"/>
                <w:szCs w:val="21"/>
                <w:highlight w:val="none"/>
                <w:lang w:val="en-US" w:eastAsia="zh-CN"/>
              </w:rPr>
              <w:t>一</w:t>
            </w:r>
            <w:r>
              <w:rPr>
                <w:rFonts w:hint="eastAsia" w:ascii="宋体" w:hAnsi="宋体" w:eastAsia="宋体" w:cs="宋体"/>
                <w:color w:val="auto"/>
                <w:szCs w:val="21"/>
                <w:highlight w:val="none"/>
              </w:rPr>
              <w:t>份；</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2、资格审查资料：正本一份，副本</w:t>
            </w:r>
            <w:r>
              <w:rPr>
                <w:rFonts w:hint="eastAsia" w:ascii="宋体" w:hAnsi="宋体" w:eastAsia="宋体" w:cs="宋体"/>
                <w:color w:val="auto"/>
                <w:szCs w:val="21"/>
                <w:highlight w:val="none"/>
                <w:lang w:val="en-US" w:eastAsia="zh-CN"/>
              </w:rPr>
              <w:t>一</w:t>
            </w:r>
            <w:r>
              <w:rPr>
                <w:rFonts w:hint="eastAsia" w:ascii="宋体" w:hAnsi="宋体" w:eastAsia="宋体" w:cs="宋体"/>
                <w:color w:val="auto"/>
                <w:szCs w:val="21"/>
                <w:highlight w:val="none"/>
              </w:rPr>
              <w:t>份；</w:t>
            </w:r>
          </w:p>
          <w:p>
            <w:pPr>
              <w:pStyle w:val="21"/>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、电子版形式：U 盘 1 份，不分正副本。</w:t>
            </w:r>
          </w:p>
          <w:p>
            <w:pPr>
              <w:pStyle w:val="21"/>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注：（1）电子版形式（U 盘）要求：包含所有</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电子档</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2）U盘上须标注</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人名称和项目名称并加盖</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23</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装订要求</w:t>
            </w:r>
          </w:p>
        </w:tc>
        <w:tc>
          <w:tcPr>
            <w:tcW w:w="6971" w:type="dxa"/>
            <w:noWrap w:val="0"/>
            <w:vAlign w:val="center"/>
          </w:tcPr>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、本工程应将</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函部分、资格审查</w:t>
            </w:r>
            <w:r>
              <w:rPr>
                <w:rFonts w:hint="eastAsia" w:ascii="宋体" w:hAnsi="宋体" w:eastAsia="宋体" w:cs="宋体"/>
                <w:color w:val="auto"/>
                <w:sz w:val="21"/>
                <w:szCs w:val="21"/>
                <w:highlight w:val="none"/>
                <w:lang w:val="en-US" w:eastAsia="zh-CN"/>
              </w:rPr>
              <w:t>部分</w:t>
            </w:r>
            <w:r>
              <w:rPr>
                <w:rFonts w:hint="eastAsia" w:ascii="宋体" w:hAnsi="宋体" w:eastAsia="宋体" w:cs="宋体"/>
                <w:color w:val="auto"/>
                <w:sz w:val="21"/>
                <w:szCs w:val="21"/>
                <w:highlight w:val="none"/>
              </w:rPr>
              <w:t>分别装订成册。</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、装订要求</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函部分的装订要求</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应按照比选文件的规定格式装订成册，并应编制目录和页码</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（2）资格审查资料的装订要求</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应按照比选文件的规定格式装订成册，并应编制目录和页码。</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）经济部分的装订要求</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sz w:val="21"/>
                <w:szCs w:val="21"/>
                <w:highlight w:val="none"/>
              </w:rPr>
              <w:t>应按照比选文件规定格式装订成册，并应编制目录。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24</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参选</w:t>
            </w:r>
            <w:r>
              <w:rPr>
                <w:rFonts w:hint="eastAsia" w:ascii="宋体" w:hAnsi="宋体" w:eastAsia="宋体" w:cs="宋体"/>
                <w:color w:val="auto"/>
                <w:kern w:val="0"/>
                <w:szCs w:val="21"/>
                <w:highlight w:val="none"/>
              </w:rPr>
              <w:t>文件的密封</w:t>
            </w:r>
          </w:p>
        </w:tc>
        <w:tc>
          <w:tcPr>
            <w:tcW w:w="6971" w:type="dxa"/>
            <w:noWrap w:val="0"/>
            <w:vAlign w:val="center"/>
          </w:tcPr>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文件袋使用“</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函部分”袋、 “资格审查部分”袋</w:t>
            </w:r>
            <w:r>
              <w:rPr>
                <w:rFonts w:hint="eastAsia" w:ascii="宋体" w:hAnsi="宋体" w:eastAsia="宋体" w:cs="宋体"/>
                <w:color w:val="auto"/>
                <w:sz w:val="21"/>
                <w:szCs w:val="21"/>
                <w:highlight w:val="none"/>
                <w:lang w:val="en-US" w:eastAsia="zh-CN"/>
              </w:rPr>
              <w:t>以及“参选文件”大袋</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函部分、电子文件装入“</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函部分”袋中，密封并在袋上加盖</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单位公章。</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、资格审查部分装入“资格审查部分”袋中，密封并在袋上加盖</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单位公章。</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、“参选函部分”、“经济部分”小袋装入“参选文件”大袋中，密封并在大袋上加盖单位公章，同时“参选文件”大袋应按本表第 2</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项的规定写明相应内容。大袋未按要求密封的，比选人或代理机构拒收。</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未按上述规定封装，比选人应当拒绝接收。</w:t>
            </w:r>
          </w:p>
          <w:p>
            <w:pPr>
              <w:pStyle w:val="21"/>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注：如因</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文件资料较多，无法装入一袋的，可以装成两袋或更多，但必须符合上述各相应资料袋的封装要求。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25</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文件袋的</w:t>
            </w:r>
            <w:r>
              <w:rPr>
                <w:rFonts w:hint="eastAsia" w:ascii="宋体" w:hAnsi="宋体" w:eastAsia="宋体" w:cs="宋体"/>
                <w:color w:val="auto"/>
                <w:kern w:val="0"/>
                <w:szCs w:val="21"/>
                <w:highlight w:val="none"/>
              </w:rPr>
              <w:t>封套上须写明</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项目名称： </w:t>
            </w:r>
            <w:r>
              <w:rPr>
                <w:rFonts w:hint="eastAsia" w:ascii="宋体" w:hAnsi="宋体" w:eastAsia="宋体" w:cs="宋体"/>
                <w:color w:val="auto"/>
                <w:szCs w:val="21"/>
                <w:highlight w:val="none"/>
                <w:u w:val="single"/>
              </w:rPr>
              <w:t xml:space="preserve">                       </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人名称：</w:t>
            </w:r>
            <w:r>
              <w:rPr>
                <w:rFonts w:hint="eastAsia" w:ascii="宋体" w:hAnsi="宋体" w:eastAsia="宋体" w:cs="宋体"/>
                <w:color w:val="auto"/>
                <w:szCs w:val="21"/>
                <w:highlight w:val="none"/>
                <w:u w:val="single"/>
              </w:rPr>
              <w:t xml:space="preserve">                   </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文件在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26</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参选</w:t>
            </w:r>
            <w:r>
              <w:rPr>
                <w:rFonts w:hint="eastAsia" w:ascii="宋体" w:hAnsi="宋体" w:eastAsia="宋体" w:cs="宋体"/>
                <w:color w:val="auto"/>
                <w:kern w:val="0"/>
                <w:szCs w:val="21"/>
                <w:highlight w:val="none"/>
              </w:rPr>
              <w:t>文件递交时间</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同比选公告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27</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参选</w:t>
            </w:r>
            <w:r>
              <w:rPr>
                <w:rFonts w:hint="eastAsia" w:ascii="宋体" w:hAnsi="宋体" w:eastAsia="宋体" w:cs="宋体"/>
                <w:color w:val="auto"/>
                <w:kern w:val="0"/>
                <w:szCs w:val="21"/>
                <w:highlight w:val="none"/>
              </w:rPr>
              <w:t>文件递交地点</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重庆</w:t>
            </w:r>
            <w:r>
              <w:rPr>
                <w:rFonts w:hint="eastAsia" w:ascii="宋体" w:hAnsi="宋体" w:eastAsia="宋体" w:cs="宋体"/>
                <w:bCs/>
                <w:color w:val="auto"/>
                <w:kern w:val="0"/>
                <w:szCs w:val="21"/>
                <w:highlight w:val="none"/>
                <w:u w:val="single"/>
                <w:lang w:val="en-US" w:eastAsia="zh-CN"/>
              </w:rPr>
              <w:t>市渝中区金渝大厦38层山水城文旅公司会议室</w:t>
            </w:r>
            <w:r>
              <w:rPr>
                <w:rFonts w:hint="eastAsia" w:ascii="宋体" w:hAnsi="宋体" w:eastAsia="宋体" w:cs="宋体"/>
                <w:bCs/>
                <w:color w:val="auto"/>
                <w:kern w:val="0"/>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28</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是否退还</w:t>
            </w:r>
            <w:r>
              <w:rPr>
                <w:rFonts w:hint="eastAsia" w:ascii="宋体" w:hAnsi="宋体" w:eastAsia="宋体" w:cs="宋体"/>
                <w:color w:val="auto"/>
                <w:kern w:val="0"/>
                <w:szCs w:val="21"/>
                <w:highlight w:val="none"/>
                <w:lang w:eastAsia="zh-CN"/>
              </w:rPr>
              <w:t>参选</w:t>
            </w:r>
            <w:r>
              <w:rPr>
                <w:rFonts w:hint="eastAsia" w:ascii="宋体" w:hAnsi="宋体" w:eastAsia="宋体" w:cs="宋体"/>
                <w:color w:val="auto"/>
                <w:kern w:val="0"/>
                <w:szCs w:val="21"/>
                <w:highlight w:val="none"/>
              </w:rPr>
              <w:t>文件</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口是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29</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比选时间和地点</w:t>
            </w:r>
          </w:p>
        </w:tc>
        <w:tc>
          <w:tcPr>
            <w:tcW w:w="6971" w:type="dxa"/>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比选时间：</w:t>
            </w:r>
            <w:r>
              <w:rPr>
                <w:rFonts w:hint="eastAsia" w:ascii="宋体" w:hAnsi="宋体" w:eastAsia="宋体" w:cs="宋体"/>
                <w:color w:val="auto"/>
                <w:kern w:val="0"/>
                <w:szCs w:val="21"/>
                <w:highlight w:val="none"/>
                <w:u w:val="single"/>
              </w:rPr>
              <w:t>同</w:t>
            </w:r>
            <w:r>
              <w:rPr>
                <w:rFonts w:hint="eastAsia" w:ascii="宋体" w:hAnsi="宋体" w:eastAsia="宋体" w:cs="宋体"/>
                <w:color w:val="auto"/>
                <w:kern w:val="0"/>
                <w:szCs w:val="21"/>
                <w:highlight w:val="none"/>
                <w:u w:val="single"/>
                <w:lang w:eastAsia="zh-CN"/>
              </w:rPr>
              <w:t>参选</w:t>
            </w:r>
            <w:r>
              <w:rPr>
                <w:rFonts w:hint="eastAsia" w:ascii="宋体" w:hAnsi="宋体" w:eastAsia="宋体" w:cs="宋体"/>
                <w:color w:val="auto"/>
                <w:kern w:val="0"/>
                <w:szCs w:val="21"/>
                <w:highlight w:val="none"/>
                <w:u w:val="single"/>
              </w:rPr>
              <w:t>文件递交截止时间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auto"/>
                <w:kern w:val="0"/>
                <w:szCs w:val="21"/>
                <w:highlight w:val="none"/>
                <w:u w:val="single"/>
              </w:rPr>
            </w:pPr>
            <w:r>
              <w:rPr>
                <w:rFonts w:hint="eastAsia" w:ascii="宋体" w:hAnsi="宋体" w:eastAsia="宋体" w:cs="宋体"/>
                <w:color w:val="auto"/>
                <w:kern w:val="0"/>
                <w:szCs w:val="21"/>
                <w:highlight w:val="none"/>
              </w:rPr>
              <w:t>比选地点：</w:t>
            </w:r>
            <w:r>
              <w:rPr>
                <w:rFonts w:hint="eastAsia" w:ascii="宋体" w:hAnsi="宋体" w:eastAsia="宋体" w:cs="宋体"/>
                <w:color w:val="auto"/>
                <w:kern w:val="0"/>
                <w:szCs w:val="21"/>
                <w:highlight w:val="none"/>
                <w:u w:val="single"/>
              </w:rPr>
              <w:t>同</w:t>
            </w:r>
            <w:r>
              <w:rPr>
                <w:rFonts w:hint="eastAsia" w:ascii="宋体" w:hAnsi="宋体" w:eastAsia="宋体" w:cs="宋体"/>
                <w:color w:val="auto"/>
                <w:kern w:val="0"/>
                <w:szCs w:val="21"/>
                <w:highlight w:val="none"/>
                <w:u w:val="single"/>
                <w:lang w:eastAsia="zh-CN"/>
              </w:rPr>
              <w:t>参选</w:t>
            </w:r>
            <w:r>
              <w:rPr>
                <w:rFonts w:hint="eastAsia" w:ascii="宋体" w:hAnsi="宋体" w:eastAsia="宋体" w:cs="宋体"/>
                <w:color w:val="auto"/>
                <w:kern w:val="0"/>
                <w:szCs w:val="21"/>
                <w:highlight w:val="none"/>
                <w:u w:val="single"/>
              </w:rPr>
              <w:t>文件递交地点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30</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比选程序</w:t>
            </w:r>
          </w:p>
        </w:tc>
        <w:tc>
          <w:tcPr>
            <w:tcW w:w="697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主持人按下列程序进行开标：</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核验参加比选会议的参选人的法定代表人或委托代理人本人身份证（原件），核验委托代理人的授权委托书、养老保险证明材料复印件，以确认其身份合法有效；若经核实委托代理人提供资料与实际不符的，不得参加比选会。核验合格的法定代表人或委托代理人可自行选择是否参加比选会，不参加比选会的视为默认比选结果。</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宣布比选纪律。</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公布在参选截止时间前递交参选文件的参选人名称。</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 参选文件的密封检查：参选人可对自己的参选文件封装情况进行检查，以确认其参选文件密封完好。</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公布最高限价。</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随机开启参选文件。开启参选文件，公布参选人名称、参选报价及其他内容并记录在案。</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参选人对比选有异议的，应当场提出，由比选人当场答复，并记录到比选记录表中。异议处理完毕后，汇总比选情况。</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 参选人代表在比选记录上签字确认。因其他原因未能签字的，视为默认比选结果。</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 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31</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公开比选委员会</w:t>
            </w:r>
            <w:r>
              <w:rPr>
                <w:rFonts w:hint="eastAsia" w:ascii="宋体" w:hAnsi="宋体" w:eastAsia="宋体" w:cs="宋体"/>
                <w:color w:val="auto"/>
                <w:kern w:val="0"/>
                <w:szCs w:val="21"/>
                <w:highlight w:val="none"/>
              </w:rPr>
              <w:t>的组建</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由比选人依法按程序组建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32</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w:t>
            </w:r>
            <w:r>
              <w:rPr>
                <w:rFonts w:hint="eastAsia" w:ascii="宋体" w:hAnsi="宋体" w:eastAsia="宋体" w:cs="宋体"/>
                <w:color w:val="auto"/>
                <w:kern w:val="0"/>
                <w:szCs w:val="21"/>
                <w:highlight w:val="none"/>
                <w:lang w:val="en-US" w:eastAsia="zh-CN"/>
              </w:rPr>
              <w:t>公开比选委员会</w:t>
            </w:r>
            <w:r>
              <w:rPr>
                <w:rFonts w:hint="eastAsia" w:ascii="宋体" w:hAnsi="宋体" w:eastAsia="宋体" w:cs="宋体"/>
                <w:color w:val="auto"/>
                <w:kern w:val="0"/>
                <w:szCs w:val="21"/>
                <w:highlight w:val="none"/>
              </w:rPr>
              <w:t>确定</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中选人</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否， 按第三章比选办法的规定推荐 1-3 名中选候选人。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lang w:val="en-US" w:eastAsia="zh-CN"/>
              </w:rPr>
              <w:t>33</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履约保证金</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（一）履约保证金：</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1、履约保证金的形式：转账或银行保函、现金、支票等形式；采用保函形式的，保函必须为不可撤销且见索即付；</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2、履约保证金的金额：中选金额的</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3、履约保证金提交程序及时间：中选人在合同签订前</w:t>
            </w:r>
            <w:r>
              <w:rPr>
                <w:rFonts w:hint="eastAsia" w:ascii="宋体" w:hAnsi="宋体" w:cs="宋体"/>
                <w:color w:val="auto"/>
                <w:szCs w:val="21"/>
                <w:highlight w:val="none"/>
                <w:lang w:val="en-US" w:eastAsia="zh-CN"/>
              </w:rPr>
              <w:t>递交</w:t>
            </w:r>
            <w:r>
              <w:rPr>
                <w:rFonts w:hint="eastAsia" w:ascii="宋体" w:hAnsi="宋体"/>
                <w:color w:val="auto"/>
                <w:sz w:val="21"/>
                <w:szCs w:val="21"/>
                <w:highlight w:val="none"/>
                <w:lang w:eastAsia="zh-CN"/>
              </w:rPr>
              <w:t>（采用现金的，须通过中选单位基本账户递交至比选人约定账户；以保函方式递交的，中选人在签订合同前向比选人递交保函）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如未按时递交，比选人有权取消其中选资格，并且不予退还其参选保证金。</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比选账户信息如下：</w:t>
            </w:r>
          </w:p>
          <w:p>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单位全称：重庆山水城文化旅游发展有限公司              </w:t>
            </w:r>
          </w:p>
          <w:p>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开户行：</w:t>
            </w:r>
            <w:r>
              <w:rPr>
                <w:rFonts w:hint="eastAsia" w:ascii="宋体" w:hAnsi="宋体" w:cs="宋体"/>
                <w:color w:val="auto"/>
                <w:highlight w:val="none"/>
                <w:lang w:val="en-US" w:eastAsia="zh-CN"/>
              </w:rPr>
              <w:t>厦门银行股份有限公司重庆两江支行</w:t>
            </w:r>
            <w:r>
              <w:rPr>
                <w:rFonts w:hint="eastAsia" w:ascii="宋体" w:hAnsi="宋体" w:eastAsia="宋体" w:cs="宋体"/>
                <w:color w:val="auto"/>
                <w:highlight w:val="none"/>
                <w:lang w:val="en-US" w:eastAsia="zh-CN"/>
              </w:rPr>
              <w:t xml:space="preserve">                    </w:t>
            </w:r>
          </w:p>
          <w:p>
            <w:pPr>
              <w:pStyle w:val="2"/>
              <w:rPr>
                <w:rFonts w:hint="default"/>
                <w:highlight w:val="none"/>
                <w:lang w:val="en-US"/>
              </w:rPr>
            </w:pPr>
            <w:r>
              <w:rPr>
                <w:rFonts w:hint="eastAsia" w:ascii="宋体" w:hAnsi="宋体" w:eastAsia="宋体" w:cs="宋体"/>
                <w:color w:val="auto"/>
                <w:highlight w:val="none"/>
                <w:lang w:val="en-US" w:eastAsia="zh-CN"/>
              </w:rPr>
              <w:t>账号：</w:t>
            </w:r>
            <w:r>
              <w:rPr>
                <w:rFonts w:hint="eastAsia" w:ascii="宋体" w:hAnsi="宋体" w:cs="宋体"/>
                <w:color w:val="auto"/>
                <w:highlight w:val="none"/>
                <w:lang w:val="en-US" w:eastAsia="zh-CN"/>
              </w:rPr>
              <w:t>80502816000116</w:t>
            </w:r>
            <w:r>
              <w:rPr>
                <w:rFonts w:hint="eastAsia" w:ascii="宋体" w:hAnsi="宋体" w:eastAsia="宋体" w:cs="宋体"/>
                <w:color w:val="auto"/>
                <w:highlight w:val="none"/>
                <w:lang w:val="en-US" w:eastAsia="zh-CN"/>
              </w:rPr>
              <w:t xml:space="preserve">    </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4、履约担保的期限：自提交履约担保之日起至竣工验收合格之日止。</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5、履约担保的退还时间：</w:t>
            </w:r>
            <w:r>
              <w:rPr>
                <w:rFonts w:hint="eastAsia" w:ascii="宋体" w:hAnsi="宋体" w:eastAsia="宋体" w:cs="宋体"/>
                <w:color w:val="auto"/>
                <w:szCs w:val="21"/>
                <w:highlight w:val="none"/>
                <w:lang w:eastAsia="zh-CN"/>
              </w:rPr>
              <w:t>采用现金，在本项目竣工验收合格后一次性无息退还给承包人，发包人不承担承包人与保证金有关的任何利息或其它类似的费用或者收益；提交履约保函的,在保函到期前一个月内，承包人应及时重新开具新保函，替换即将过期的保函，直至合同履行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低价风险保证金</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1、中选人是否提供</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：提供。</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2、中选人提供</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的形式、金额及期限：</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的形式：现金。</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的金额：</w:t>
            </w:r>
            <w:r>
              <w:rPr>
                <w:rFonts w:hint="eastAsia" w:ascii="宋体" w:hAnsi="宋体" w:eastAsia="宋体" w:cs="宋体"/>
                <w:color w:val="auto"/>
                <w:szCs w:val="21"/>
                <w:highlight w:val="none"/>
                <w:lang w:val="en-US" w:eastAsia="zh-CN"/>
              </w:rPr>
              <w:t>中选报价总价与最高总价限价的85%之间差额的三倍</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低价风险保证金=（最高总价限价*85%-中选报价总价）*3，单位为万元，四舍五入取小数点后两位。低价风险保证金的金额小于0的则无需提供低价风险保证金。</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的提交时间：在合同订立前，</w:t>
            </w:r>
            <w:r>
              <w:rPr>
                <w:rFonts w:hint="eastAsia" w:ascii="宋体" w:hAnsi="宋体" w:eastAsia="宋体" w:cs="宋体"/>
                <w:color w:val="auto"/>
                <w:szCs w:val="21"/>
                <w:highlight w:val="none"/>
                <w:lang w:val="en-US" w:eastAsia="zh-CN"/>
              </w:rPr>
              <w:t>承包</w:t>
            </w:r>
            <w:r>
              <w:rPr>
                <w:rFonts w:hint="eastAsia" w:ascii="宋体" w:hAnsi="宋体" w:eastAsia="宋体" w:cs="宋体"/>
                <w:color w:val="auto"/>
                <w:szCs w:val="21"/>
                <w:highlight w:val="none"/>
              </w:rPr>
              <w:t>人按</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金额向发包人提交</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的期限：自提交</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之日起至</w:t>
            </w:r>
            <w:r>
              <w:rPr>
                <w:rFonts w:hint="eastAsia" w:ascii="宋体" w:hAnsi="宋体" w:eastAsia="宋体" w:cs="宋体"/>
                <w:color w:val="auto"/>
                <w:szCs w:val="21"/>
                <w:highlight w:val="none"/>
                <w:lang w:val="en-US" w:eastAsia="zh-CN"/>
              </w:rPr>
              <w:t>儿童公园光影艺术展结束</w:t>
            </w:r>
            <w:r>
              <w:rPr>
                <w:rFonts w:hint="eastAsia" w:ascii="宋体" w:hAnsi="宋体" w:eastAsia="宋体" w:cs="宋体"/>
                <w:color w:val="auto"/>
                <w:szCs w:val="21"/>
                <w:highlight w:val="none"/>
              </w:rPr>
              <w:t>之日止。</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低价风险保证金</w:t>
            </w:r>
            <w:r>
              <w:rPr>
                <w:rFonts w:hint="eastAsia" w:ascii="宋体" w:hAnsi="宋体" w:eastAsia="宋体" w:cs="宋体"/>
                <w:color w:val="auto"/>
                <w:szCs w:val="21"/>
                <w:highlight w:val="none"/>
              </w:rPr>
              <w:t>的退还时间：</w:t>
            </w:r>
            <w:r>
              <w:rPr>
                <w:rFonts w:hint="eastAsia" w:ascii="宋体" w:hAnsi="宋体" w:eastAsia="宋体" w:cs="宋体"/>
                <w:color w:val="auto"/>
                <w:szCs w:val="21"/>
                <w:highlight w:val="none"/>
                <w:lang w:val="en-US" w:eastAsia="zh-CN"/>
              </w:rPr>
              <w:t>儿童公园光影艺术展结束</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val="en-US" w:eastAsia="zh-CN"/>
              </w:rPr>
              <w:t>10个工作日</w:t>
            </w:r>
            <w:r>
              <w:rPr>
                <w:rFonts w:hint="eastAsia" w:ascii="宋体" w:hAnsi="宋体" w:eastAsia="宋体" w:cs="宋体"/>
                <w:color w:val="auto"/>
                <w:szCs w:val="21"/>
                <w:highlight w:val="none"/>
              </w:rPr>
              <w:t>内无息退还。</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承包人未在规定工期内完成合同约定内容的，发包人将不予退还低价风险保证金（若有）。因承包人原因造成工期延误导致展览活动延期，承包人给发包人造成损失的，承包人应予以赔偿。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34</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有下列情形之一的，</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人将重新</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rPr>
              <w:t>截止时间止，</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rPr>
              <w:t>人少于 3 个的；</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（2）经</w:t>
            </w:r>
            <w:r>
              <w:rPr>
                <w:rFonts w:hint="eastAsia" w:ascii="宋体" w:hAnsi="宋体" w:eastAsia="宋体" w:cs="宋体"/>
                <w:color w:val="auto"/>
                <w:szCs w:val="21"/>
                <w:highlight w:val="none"/>
                <w:lang w:val="en-US" w:eastAsia="zh-CN"/>
              </w:rPr>
              <w:t>公开比选</w:t>
            </w:r>
            <w:r>
              <w:rPr>
                <w:rFonts w:hint="eastAsia" w:ascii="宋体" w:hAnsi="宋体" w:eastAsia="宋体" w:cs="宋体"/>
                <w:color w:val="auto"/>
                <w:szCs w:val="21"/>
                <w:highlight w:val="none"/>
              </w:rPr>
              <w:t>委员会评审后否决所有</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rPr>
              <w:t>的；</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（3）经</w:t>
            </w:r>
            <w:r>
              <w:rPr>
                <w:rFonts w:hint="eastAsia" w:ascii="宋体" w:hAnsi="宋体" w:eastAsia="宋体" w:cs="宋体"/>
                <w:color w:val="auto"/>
                <w:szCs w:val="21"/>
                <w:highlight w:val="none"/>
                <w:lang w:val="en-US" w:eastAsia="zh-CN"/>
              </w:rPr>
              <w:t>公开比选委员会</w:t>
            </w:r>
            <w:r>
              <w:rPr>
                <w:rFonts w:hint="eastAsia" w:ascii="宋体" w:hAnsi="宋体" w:eastAsia="宋体" w:cs="宋体"/>
                <w:color w:val="auto"/>
                <w:szCs w:val="21"/>
                <w:highlight w:val="none"/>
              </w:rPr>
              <w:t>评审后部分</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rPr>
              <w:t>被否决，导致有效</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rPr>
              <w:t>人不足三个的，</w:t>
            </w:r>
            <w:r>
              <w:rPr>
                <w:rFonts w:hint="eastAsia" w:ascii="宋体" w:hAnsi="宋体" w:eastAsia="宋体" w:cs="宋体"/>
                <w:color w:val="auto"/>
                <w:szCs w:val="21"/>
                <w:highlight w:val="none"/>
                <w:lang w:eastAsia="zh-CN"/>
              </w:rPr>
              <w:t>公开比选委员会</w:t>
            </w:r>
            <w:r>
              <w:rPr>
                <w:rFonts w:hint="eastAsia" w:ascii="宋体" w:hAnsi="宋体" w:eastAsia="宋体" w:cs="宋体"/>
                <w:color w:val="auto"/>
                <w:szCs w:val="21"/>
                <w:highlight w:val="none"/>
              </w:rPr>
              <w:t>应当否决所有投标。但是有效</w:t>
            </w:r>
            <w:r>
              <w:rPr>
                <w:rFonts w:hint="eastAsia" w:ascii="宋体" w:hAnsi="宋体" w:eastAsia="宋体" w:cs="宋体"/>
                <w:color w:val="auto"/>
                <w:szCs w:val="21"/>
                <w:highlight w:val="none"/>
                <w:lang w:val="en-US" w:eastAsia="zh-CN"/>
              </w:rPr>
              <w:t>参选人</w:t>
            </w:r>
            <w:r>
              <w:rPr>
                <w:rFonts w:hint="eastAsia" w:ascii="宋体" w:hAnsi="宋体" w:eastAsia="宋体" w:cs="宋体"/>
                <w:color w:val="auto"/>
                <w:szCs w:val="21"/>
                <w:highlight w:val="none"/>
              </w:rPr>
              <w:t>的经济、技术等指标仍然具有市场竞争力，能够满足</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eastAsia="宋体" w:cs="宋体"/>
                <w:color w:val="auto"/>
                <w:szCs w:val="21"/>
                <w:highlight w:val="none"/>
                <w:lang w:eastAsia="zh-CN"/>
              </w:rPr>
              <w:t>公开比选委员会</w:t>
            </w:r>
            <w:r>
              <w:rPr>
                <w:rFonts w:hint="eastAsia" w:ascii="宋体" w:hAnsi="宋体" w:eastAsia="宋体" w:cs="宋体"/>
                <w:color w:val="auto"/>
                <w:szCs w:val="21"/>
                <w:highlight w:val="none"/>
              </w:rPr>
              <w:t>可以继续评标并确定中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（4）法律法规规定的其他情形。</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注：本款只适用于首次</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35</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重新比选和不再比选</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重新</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的</w:t>
            </w:r>
            <w:r>
              <w:rPr>
                <w:rFonts w:hint="eastAsia" w:ascii="宋体" w:hAnsi="宋体" w:cs="宋体"/>
                <w:color w:val="auto"/>
                <w:szCs w:val="21"/>
                <w:highlight w:val="none"/>
                <w:lang w:val="en-US" w:eastAsia="zh-CN"/>
              </w:rPr>
              <w:t>参选</w:t>
            </w:r>
            <w:r>
              <w:rPr>
                <w:rFonts w:hint="eastAsia" w:ascii="宋体" w:hAnsi="宋体" w:eastAsia="宋体" w:cs="宋体"/>
                <w:color w:val="auto"/>
                <w:szCs w:val="21"/>
                <w:highlight w:val="none"/>
              </w:rPr>
              <w:t>人仍然少于</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个的，按照</w:t>
            </w:r>
            <w:r>
              <w:rPr>
                <w:rFonts w:hint="eastAsia" w:ascii="宋体" w:hAnsi="宋体" w:cs="宋体"/>
                <w:color w:val="auto"/>
                <w:szCs w:val="21"/>
                <w:highlight w:val="none"/>
                <w:lang w:val="en-US" w:eastAsia="zh-CN"/>
              </w:rPr>
              <w:t>比选文件</w:t>
            </w:r>
            <w:r>
              <w:rPr>
                <w:rFonts w:hint="eastAsia" w:ascii="宋体" w:hAnsi="宋体" w:eastAsia="宋体" w:cs="宋体"/>
                <w:color w:val="auto"/>
                <w:szCs w:val="21"/>
                <w:highlight w:val="none"/>
              </w:rPr>
              <w:t>规定的程序开标和评标。重新</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经评审有有效</w:t>
            </w:r>
            <w:r>
              <w:rPr>
                <w:rFonts w:hint="eastAsia" w:ascii="宋体" w:hAnsi="宋体" w:cs="宋体"/>
                <w:color w:val="auto"/>
                <w:szCs w:val="21"/>
                <w:highlight w:val="none"/>
                <w:lang w:val="en-US" w:eastAsia="zh-CN"/>
              </w:rPr>
              <w:t>参选</w:t>
            </w:r>
            <w:r>
              <w:rPr>
                <w:rFonts w:hint="eastAsia" w:ascii="宋体" w:hAnsi="宋体" w:eastAsia="宋体" w:cs="宋体"/>
                <w:color w:val="auto"/>
                <w:szCs w:val="21"/>
                <w:highlight w:val="none"/>
              </w:rPr>
              <w:t>人的，应当依法确定中</w:t>
            </w:r>
            <w:r>
              <w:rPr>
                <w:rFonts w:hint="eastAsia" w:ascii="宋体" w:hAnsi="宋体" w:cs="宋体"/>
                <w:color w:val="auto"/>
                <w:szCs w:val="21"/>
                <w:highlight w:val="none"/>
                <w:lang w:val="en-US" w:eastAsia="zh-CN"/>
              </w:rPr>
              <w:t>选</w:t>
            </w:r>
            <w:r>
              <w:rPr>
                <w:rFonts w:hint="eastAsia" w:ascii="宋体" w:hAnsi="宋体" w:eastAsia="宋体" w:cs="宋体"/>
                <w:color w:val="auto"/>
                <w:szCs w:val="21"/>
                <w:highlight w:val="none"/>
              </w:rPr>
              <w:t>候选人；无有效投标人的，可以不再进行</w:t>
            </w:r>
            <w:r>
              <w:rPr>
                <w:rFonts w:hint="eastAsia" w:ascii="宋体" w:hAnsi="宋体" w:cs="宋体"/>
                <w:color w:val="auto"/>
                <w:szCs w:val="21"/>
                <w:highlight w:val="none"/>
                <w:lang w:val="en-US" w:eastAsia="zh-CN"/>
              </w:rPr>
              <w:t>公开比选。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cs="宋体"/>
                <w:color w:val="auto"/>
                <w:kern w:val="0"/>
                <w:szCs w:val="21"/>
                <w:highlight w:val="none"/>
                <w:lang w:val="en-US" w:eastAsia="zh-CN"/>
              </w:rPr>
              <w:t>6</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比选代理服务费</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188"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
                <w:color w:val="auto"/>
                <w:kern w:val="0"/>
                <w:szCs w:val="21"/>
                <w:highlight w:val="none"/>
                <w:lang w:val="en-US" w:eastAsia="zh-CN"/>
              </w:rPr>
            </w:pPr>
            <w:r>
              <w:rPr>
                <w:rFonts w:hint="eastAsia" w:ascii="宋体" w:hAnsi="宋体" w:cs="宋体"/>
                <w:color w:val="auto"/>
                <w:kern w:val="0"/>
                <w:szCs w:val="21"/>
                <w:highlight w:val="none"/>
                <w:lang w:val="en-US" w:eastAsia="zh-CN"/>
              </w:rPr>
              <w:t>37</w:t>
            </w:r>
          </w:p>
        </w:tc>
        <w:tc>
          <w:tcPr>
            <w:tcW w:w="1730" w:type="dxa"/>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比选结果公示</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比选结束后，比选人将比选结果在</w:t>
            </w:r>
            <w:r>
              <w:rPr>
                <w:rFonts w:hint="eastAsia" w:ascii="宋体" w:hAnsi="宋体" w:eastAsia="宋体" w:cs="宋体"/>
                <w:color w:val="auto"/>
                <w:szCs w:val="21"/>
                <w:highlight w:val="none"/>
                <w:lang w:eastAsia="zh-CN"/>
              </w:rPr>
              <w:t>重庆山水城文化旅游发展有限公司</w:t>
            </w:r>
            <w:r>
              <w:rPr>
                <w:rFonts w:hint="eastAsia" w:ascii="宋体" w:hAnsi="宋体" w:eastAsia="宋体" w:cs="宋体"/>
                <w:color w:val="auto"/>
                <w:szCs w:val="21"/>
                <w:highlight w:val="none"/>
              </w:rPr>
              <w:t>官网（</w:t>
            </w:r>
            <w:r>
              <w:rPr>
                <w:rFonts w:hint="eastAsia" w:ascii="宋体" w:hAnsi="宋体" w:eastAsia="宋体" w:cs="宋体"/>
                <w:color w:val="auto"/>
                <w:szCs w:val="21"/>
                <w:highlight w:val="none"/>
                <w:lang w:eastAsia="zh-CN"/>
              </w:rPr>
              <w:t>http://www.cqsswl.com/</w:t>
            </w:r>
            <w:r>
              <w:rPr>
                <w:rFonts w:hint="eastAsia" w:ascii="宋体" w:hAnsi="宋体" w:eastAsia="宋体" w:cs="宋体"/>
                <w:color w:val="auto"/>
                <w:szCs w:val="21"/>
                <w:highlight w:val="none"/>
              </w:rPr>
              <w:t xml:space="preserve">）进行公示，公示时间不少于 </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个</w:t>
            </w:r>
            <w:r>
              <w:rPr>
                <w:rFonts w:hint="eastAsia" w:ascii="宋体" w:hAnsi="宋体" w:cs="宋体"/>
                <w:color w:val="auto"/>
                <w:szCs w:val="21"/>
                <w:highlight w:val="none"/>
                <w:lang w:val="en-US" w:eastAsia="zh-CN"/>
              </w:rPr>
              <w:t>自然</w:t>
            </w:r>
            <w:r>
              <w:rPr>
                <w:rFonts w:hint="eastAsia" w:ascii="宋体" w:hAnsi="宋体" w:eastAsia="宋体" w:cs="宋体"/>
                <w:color w:val="auto"/>
                <w:szCs w:val="21"/>
                <w:highlight w:val="none"/>
              </w:rPr>
              <w:t>日。公示期间若无任何质疑投诉或经调查质疑投诉不成立的，第一中选候选人</w:t>
            </w:r>
            <w:r>
              <w:rPr>
                <w:rFonts w:hint="eastAsia" w:ascii="宋体" w:hAnsi="宋体" w:cs="宋体"/>
                <w:color w:val="auto"/>
                <w:szCs w:val="21"/>
                <w:highlight w:val="none"/>
                <w:lang w:val="en-US" w:eastAsia="zh-CN"/>
              </w:rPr>
              <w:t>中选</w:t>
            </w:r>
            <w:r>
              <w:rPr>
                <w:rFonts w:hint="eastAsia" w:ascii="宋体" w:hAnsi="宋体" w:eastAsia="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38</w:t>
            </w:r>
          </w:p>
        </w:tc>
        <w:tc>
          <w:tcPr>
            <w:tcW w:w="1730"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付款方式</w:t>
            </w:r>
          </w:p>
        </w:tc>
        <w:tc>
          <w:tcPr>
            <w:tcW w:w="6971" w:type="dxa"/>
            <w:noWrap w:val="0"/>
            <w:vAlign w:val="center"/>
          </w:tcPr>
          <w:p>
            <w:pPr>
              <w:keepNext w:val="0"/>
              <w:keepLines w:val="0"/>
              <w:pageBreakBefore w:val="0"/>
              <w:widowControl w:val="0"/>
              <w:numPr>
                <w:ilvl w:val="0"/>
                <w:numId w:val="0"/>
              </w:numPr>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highlight w:val="none"/>
                <w:lang w:val="en-US" w:eastAsia="zh-CN"/>
              </w:rPr>
            </w:pPr>
            <w:bookmarkStart w:id="18" w:name="OLE_LINK5"/>
            <w:r>
              <w:rPr>
                <w:rFonts w:hint="eastAsia" w:ascii="宋体" w:hAnsi="宋体" w:eastAsia="宋体" w:cs="宋体"/>
                <w:color w:val="auto"/>
                <w:highlight w:val="none"/>
                <w:lang w:val="en-US" w:eastAsia="zh-CN"/>
              </w:rPr>
              <w:t>1.本</w:t>
            </w:r>
            <w:r>
              <w:rPr>
                <w:rFonts w:hint="eastAsia" w:ascii="宋体" w:hAnsi="宋体" w:cs="宋体"/>
                <w:color w:val="auto"/>
                <w:highlight w:val="none"/>
                <w:lang w:val="en-US" w:eastAsia="zh-CN"/>
              </w:rPr>
              <w:t>项目光影艺术装置安装调试完成，并经发包人</w:t>
            </w:r>
            <w:r>
              <w:rPr>
                <w:rFonts w:hint="eastAsia" w:ascii="宋体" w:hAnsi="宋体" w:eastAsia="宋体" w:cs="宋体"/>
                <w:color w:val="auto"/>
                <w:highlight w:val="none"/>
                <w:lang w:val="en-US" w:eastAsia="zh-CN"/>
              </w:rPr>
              <w:t>验收合格后</w:t>
            </w:r>
            <w:bookmarkStart w:id="19" w:name="OLE_LINK3"/>
            <w:r>
              <w:rPr>
                <w:rFonts w:hint="eastAsia" w:ascii="宋体" w:hAnsi="宋体" w:cs="宋体"/>
                <w:color w:val="auto"/>
                <w:highlight w:val="none"/>
                <w:lang w:val="en-US" w:eastAsia="zh-CN"/>
              </w:rPr>
              <w:t>10个工作日内，发包人</w:t>
            </w:r>
            <w:r>
              <w:rPr>
                <w:rFonts w:hint="eastAsia" w:ascii="宋体" w:hAnsi="宋体" w:eastAsia="宋体" w:cs="宋体"/>
                <w:color w:val="auto"/>
                <w:highlight w:val="none"/>
                <w:lang w:val="en-US" w:eastAsia="zh-CN"/>
              </w:rPr>
              <w:t>支付</w:t>
            </w:r>
            <w:r>
              <w:rPr>
                <w:rFonts w:hint="eastAsia" w:ascii="宋体" w:hAnsi="宋体" w:cs="宋体"/>
                <w:color w:val="auto"/>
                <w:highlight w:val="none"/>
                <w:lang w:val="en-US" w:eastAsia="zh-CN"/>
              </w:rPr>
              <w:t>给承包人合同金额</w:t>
            </w:r>
            <w:r>
              <w:rPr>
                <w:rFonts w:hint="eastAsia" w:ascii="宋体" w:hAnsi="宋体" w:eastAsia="宋体" w:cs="宋体"/>
                <w:color w:val="auto"/>
                <w:highlight w:val="none"/>
                <w:lang w:val="en-US" w:eastAsia="zh-CN"/>
              </w:rPr>
              <w:t>的</w:t>
            </w:r>
            <w:r>
              <w:rPr>
                <w:rFonts w:hint="eastAsia" w:ascii="宋体" w:hAnsi="宋体" w:cs="宋体"/>
                <w:color w:val="auto"/>
                <w:highlight w:val="none"/>
                <w:lang w:val="en-US" w:eastAsia="zh-CN"/>
              </w:rPr>
              <w:t>8</w:t>
            </w:r>
            <w:r>
              <w:rPr>
                <w:rFonts w:hint="eastAsia" w:ascii="宋体" w:hAnsi="宋体" w:eastAsia="宋体" w:cs="宋体"/>
                <w:color w:val="auto"/>
                <w:highlight w:val="none"/>
                <w:lang w:val="en-US" w:eastAsia="zh-CN"/>
              </w:rPr>
              <w:t>0%。</w:t>
            </w:r>
          </w:p>
          <w:bookmarkEnd w:id="19"/>
          <w:p>
            <w:pPr>
              <w:keepNext w:val="0"/>
              <w:keepLines w:val="0"/>
              <w:pageBreakBefore w:val="0"/>
              <w:widowControl w:val="0"/>
              <w:numPr>
                <w:ilvl w:val="0"/>
                <w:numId w:val="0"/>
              </w:numPr>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w:t>
            </w:r>
            <w:r>
              <w:rPr>
                <w:rFonts w:hint="eastAsia" w:ascii="宋体" w:hAnsi="宋体" w:cs="宋体"/>
                <w:color w:val="auto"/>
                <w:highlight w:val="none"/>
                <w:lang w:val="en-US" w:eastAsia="zh-CN"/>
              </w:rPr>
              <w:t>项目全部内容执行完成并经发包人确任结算金额后10个工作日内，发包人</w:t>
            </w:r>
            <w:r>
              <w:rPr>
                <w:rFonts w:hint="eastAsia" w:ascii="宋体" w:hAnsi="宋体" w:eastAsia="宋体" w:cs="宋体"/>
                <w:color w:val="auto"/>
                <w:highlight w:val="none"/>
                <w:lang w:val="en-US" w:eastAsia="zh-CN"/>
              </w:rPr>
              <w:t>支付</w:t>
            </w:r>
            <w:r>
              <w:rPr>
                <w:rFonts w:hint="eastAsia" w:ascii="宋体" w:hAnsi="宋体" w:cs="宋体"/>
                <w:color w:val="auto"/>
                <w:highlight w:val="none"/>
                <w:lang w:val="en-US" w:eastAsia="zh-CN"/>
              </w:rPr>
              <w:t>给承包人至结算金额</w:t>
            </w:r>
            <w:r>
              <w:rPr>
                <w:rFonts w:hint="eastAsia" w:ascii="宋体" w:hAnsi="宋体" w:eastAsia="宋体" w:cs="宋体"/>
                <w:color w:val="auto"/>
                <w:highlight w:val="none"/>
                <w:lang w:val="en-US" w:eastAsia="zh-CN"/>
              </w:rPr>
              <w:t>的100%。</w:t>
            </w:r>
          </w:p>
          <w:p>
            <w:pPr>
              <w:keepNext w:val="0"/>
              <w:keepLines w:val="0"/>
              <w:pageBreakBefore w:val="0"/>
              <w:widowControl w:val="0"/>
              <w:numPr>
                <w:ilvl w:val="0"/>
                <w:numId w:val="0"/>
              </w:numPr>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.发包人付款前，承包人应向发包人提供与付款金额相对应增值税专用发票，否则发包人有权暂缓付款，由此导致的延缓付款责任由承包人承担。</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bookmarkStart w:id="20" w:name="_Toc200513126"/>
            <w:bookmarkStart w:id="21" w:name="_Toc224103317"/>
            <w:r>
              <w:rPr>
                <w:rFonts w:hint="eastAsia" w:ascii="宋体" w:hAnsi="宋体" w:cs="宋体"/>
                <w:color w:val="auto"/>
                <w:szCs w:val="21"/>
                <w:highlight w:val="none"/>
                <w:lang w:val="en-US" w:eastAsia="zh-CN"/>
              </w:rPr>
              <w:t>39</w:t>
            </w:r>
          </w:p>
        </w:tc>
        <w:tc>
          <w:tcPr>
            <w:tcW w:w="1730"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合同签订</w:t>
            </w:r>
          </w:p>
        </w:tc>
        <w:tc>
          <w:tcPr>
            <w:tcW w:w="6971" w:type="dxa"/>
            <w:noWrap w:val="0"/>
            <w:vAlign w:val="center"/>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1.比选人与中选人应当在中选通知书发出之日起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或中选结果公示结束后</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个工作日内，按照比选文件确定的合同文本以及中选价、质量、技术和服务要求、履行期限等事项签订合同。</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中选人无正当理由拒签合同的，比选人取消其承包资格。排名第一的中选侯选人放弃承包的、因不可抗力不能履行合同，或者被查实存在影响成交结果的违法行为等情形，不符合承包条件的，比选人可以按照候选中选人名单排序依次确定其他候选人为中选人，也可以重新组织比选，确定中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40</w:t>
            </w:r>
          </w:p>
        </w:tc>
        <w:tc>
          <w:tcPr>
            <w:tcW w:w="1730" w:type="dxa"/>
            <w:noWrap w:val="0"/>
            <w:vAlign w:val="top"/>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投诉处理</w:t>
            </w:r>
          </w:p>
        </w:tc>
        <w:tc>
          <w:tcPr>
            <w:tcW w:w="6971" w:type="dxa"/>
            <w:noWrap w:val="0"/>
            <w:vAlign w:val="top"/>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人或者其他利害关系人就比选结果等事项投诉的，应当先向比选人提出异议；比选人应当在规定时间内答复；对比选人的答复不满意的，或比选人未答复的，可向主管行业部门投诉。</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2.投诉人捏造事实、伪造材料或者以非法手段取得证明材料进行投诉的，行政监督部门应当予以驳回；给他人造成损失的，依法承担赔偿责任。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41</w:t>
            </w:r>
          </w:p>
        </w:tc>
        <w:tc>
          <w:tcPr>
            <w:tcW w:w="1730" w:type="dxa"/>
            <w:noWrap w:val="0"/>
            <w:vAlign w:val="top"/>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关于对比选文件及</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争议的解释</w:t>
            </w:r>
          </w:p>
        </w:tc>
        <w:tc>
          <w:tcPr>
            <w:tcW w:w="6971" w:type="dxa"/>
            <w:noWrap w:val="0"/>
            <w:vAlign w:val="top"/>
          </w:tcPr>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对比选文件的评审标准和方法，以及资格审查和否决竞标条款理解有争议的，应当作出不利于比选人的解释，但违背国家利益、社会公共利益的除外。</w:t>
            </w:r>
          </w:p>
          <w:p>
            <w:pPr>
              <w:keepNext w:val="0"/>
              <w:keepLines w:val="0"/>
              <w:pageBreakBefore w:val="0"/>
              <w:widowControl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对</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lang w:val="en-US"/>
              </w:rPr>
              <w:t>文件理解有争议的，应当作出不利于提交该</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lang w:val="en-US"/>
              </w:rPr>
              <w:t>文件的</w:t>
            </w:r>
            <w:r>
              <w:rPr>
                <w:rFonts w:hint="eastAsia" w:ascii="宋体" w:hAnsi="宋体" w:eastAsia="宋体" w:cs="宋体"/>
                <w:color w:val="auto"/>
                <w:szCs w:val="21"/>
                <w:highlight w:val="none"/>
                <w:lang w:val="en-US" w:eastAsia="zh-CN"/>
              </w:rPr>
              <w:t>参选</w:t>
            </w:r>
            <w:r>
              <w:rPr>
                <w:rFonts w:hint="eastAsia" w:ascii="宋体" w:hAnsi="宋体" w:eastAsia="宋体" w:cs="宋体"/>
                <w:color w:val="auto"/>
                <w:szCs w:val="21"/>
                <w:highlight w:val="none"/>
                <w:lang w:val="en-US"/>
              </w:rPr>
              <w:t>人的解释。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42</w:t>
            </w:r>
          </w:p>
        </w:tc>
        <w:tc>
          <w:tcPr>
            <w:tcW w:w="1730" w:type="dxa"/>
            <w:noWrap w:val="0"/>
            <w:vAlign w:val="center"/>
          </w:tcPr>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auto"/>
                <w:szCs w:val="21"/>
                <w:highlight w:val="none"/>
              </w:rPr>
            </w:pPr>
          </w:p>
          <w:p>
            <w:pPr>
              <w:keepNext w:val="0"/>
              <w:keepLines w:val="0"/>
              <w:pageBreakBefore w:val="0"/>
              <w:tabs>
                <w:tab w:val="left" w:pos="436"/>
                <w:tab w:val="left" w:pos="492"/>
              </w:tabs>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其它说明</w:t>
            </w:r>
          </w:p>
        </w:tc>
        <w:tc>
          <w:tcPr>
            <w:tcW w:w="69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42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结果公示结束后若无异议、投诉，经比选人确认后确定第一中选候选人为中选人，中选人必须按照明确的完成时限提供服务并完成工作，且不得因合同签订、付款支付问题影响工作推进，若中选人未能按规定时限完成工作，比选人有权单方面解除合同，所有损失由中选人自行承担。</w:t>
            </w:r>
          </w:p>
          <w:p>
            <w:pPr>
              <w:keepNext w:val="0"/>
              <w:keepLines w:val="0"/>
              <w:pageBreakBefore w:val="0"/>
              <w:widowControl w:val="0"/>
              <w:kinsoku/>
              <w:wordWrap/>
              <w:overflowPunct/>
              <w:topLinePunct w:val="0"/>
              <w:autoSpaceDE/>
              <w:autoSpaceDN/>
              <w:bidi w:val="0"/>
              <w:adjustRightInd/>
              <w:snapToGrid w:val="0"/>
              <w:spacing w:line="240" w:lineRule="auto"/>
              <w:ind w:firstLine="42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比选人有权根据项目实际情况决定最终是否实施该项目或改变实施计划，且有权根据情况变化取消或延迟与中选候选人签订合同，比选人不向参选人进行任何承诺。</w:t>
            </w:r>
          </w:p>
        </w:tc>
      </w:tr>
      <w:bookmarkEnd w:id="20"/>
      <w:bookmarkEnd w:id="21"/>
    </w:tbl>
    <w:p>
      <w:pPr>
        <w:pStyle w:val="3"/>
        <w:numPr>
          <w:ilvl w:val="0"/>
          <w:numId w:val="0"/>
        </w:numPr>
        <w:bidi w:val="0"/>
        <w:ind w:left="3360" w:leftChars="0"/>
        <w:jc w:val="left"/>
        <w:rPr>
          <w:rFonts w:hint="eastAsia"/>
          <w:color w:val="auto"/>
          <w:highlight w:val="none"/>
        </w:rPr>
      </w:pPr>
      <w:bookmarkStart w:id="22" w:name="_Toc370718261"/>
      <w:bookmarkStart w:id="23" w:name="_Toc290043916"/>
      <w:bookmarkStart w:id="24" w:name="_Toc457204477"/>
      <w:bookmarkStart w:id="25" w:name="_Toc15384"/>
    </w:p>
    <w:p>
      <w:pPr>
        <w:pStyle w:val="21"/>
        <w:rPr>
          <w:rFonts w:hint="eastAsia"/>
        </w:rPr>
      </w:pPr>
    </w:p>
    <w:p>
      <w:pPr>
        <w:pStyle w:val="67"/>
        <w:rPr>
          <w:rFonts w:hint="eastAsia"/>
        </w:rPr>
      </w:pPr>
    </w:p>
    <w:p>
      <w:pPr>
        <w:rPr>
          <w:rFonts w:hint="eastAsia"/>
        </w:rPr>
      </w:pPr>
    </w:p>
    <w:p>
      <w:pPr>
        <w:pStyle w:val="66"/>
        <w:rPr>
          <w:rFonts w:hint="eastAsia"/>
        </w:rPr>
      </w:pPr>
    </w:p>
    <w:p>
      <w:pPr>
        <w:rPr>
          <w:rFonts w:hint="eastAsia"/>
        </w:rPr>
      </w:pPr>
    </w:p>
    <w:p>
      <w:pPr>
        <w:pStyle w:val="66"/>
        <w:rPr>
          <w:rFonts w:hint="eastAsia"/>
        </w:rPr>
      </w:pPr>
    </w:p>
    <w:p>
      <w:pPr>
        <w:rPr>
          <w:rFonts w:hint="eastAsia"/>
        </w:rPr>
      </w:pPr>
    </w:p>
    <w:p>
      <w:pPr>
        <w:pStyle w:val="66"/>
        <w:rPr>
          <w:rFonts w:hint="eastAsia"/>
        </w:rPr>
      </w:pPr>
    </w:p>
    <w:p>
      <w:pPr>
        <w:rPr>
          <w:rFonts w:hint="eastAsia"/>
        </w:rPr>
      </w:pPr>
    </w:p>
    <w:p>
      <w:pPr>
        <w:pStyle w:val="66"/>
        <w:rPr>
          <w:rFonts w:hint="eastAsia"/>
        </w:rPr>
      </w:pPr>
    </w:p>
    <w:p>
      <w:pPr>
        <w:rPr>
          <w:rFonts w:hint="eastAsia"/>
        </w:rPr>
      </w:pPr>
    </w:p>
    <w:p>
      <w:pPr>
        <w:pStyle w:val="2"/>
        <w:rPr>
          <w:rFonts w:hint="eastAsia"/>
        </w:rPr>
      </w:pPr>
    </w:p>
    <w:p>
      <w:pPr>
        <w:pStyle w:val="21"/>
        <w:rPr>
          <w:rFonts w:hint="eastAsia"/>
        </w:rPr>
      </w:pPr>
    </w:p>
    <w:bookmarkEnd w:id="22"/>
    <w:bookmarkEnd w:id="23"/>
    <w:bookmarkEnd w:id="24"/>
    <w:bookmarkEnd w:id="25"/>
    <w:p>
      <w:pPr>
        <w:pStyle w:val="3"/>
        <w:numPr>
          <w:ilvl w:val="0"/>
          <w:numId w:val="0"/>
        </w:numPr>
        <w:spacing w:line="360" w:lineRule="auto"/>
        <w:ind w:leftChars="200"/>
        <w:jc w:val="both"/>
        <w:rPr>
          <w:rFonts w:ascii="宋体" w:hAnsi="宋体"/>
          <w:color w:val="auto"/>
          <w:highlight w:val="none"/>
        </w:rPr>
      </w:pPr>
      <w:bookmarkStart w:id="26" w:name="_Toc509218774"/>
      <w:bookmarkStart w:id="27" w:name="_Toc68115907"/>
      <w:bookmarkStart w:id="28" w:name="_Toc6128"/>
      <w:bookmarkStart w:id="29" w:name="_Toc224103492"/>
      <w:bookmarkStart w:id="30" w:name="_Toc443576785"/>
      <w:r>
        <w:rPr>
          <w:rFonts w:hint="eastAsia" w:ascii="宋体" w:hAnsi="宋体"/>
          <w:color w:val="auto"/>
          <w:highlight w:val="none"/>
          <w:lang w:val="en-US" w:eastAsia="zh-CN"/>
        </w:rPr>
        <w:t>第三章</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评标办法（</w:t>
      </w:r>
      <w:r>
        <w:rPr>
          <w:rFonts w:hint="eastAsia" w:ascii="宋体" w:hAnsi="宋体"/>
          <w:color w:val="auto"/>
          <w:highlight w:val="none"/>
          <w:lang w:val="en-US" w:eastAsia="zh-CN"/>
        </w:rPr>
        <w:t>经评审的最低投标价法</w:t>
      </w:r>
      <w:r>
        <w:rPr>
          <w:rFonts w:ascii="宋体" w:hAnsi="宋体"/>
          <w:color w:val="auto"/>
          <w:highlight w:val="none"/>
        </w:rPr>
        <w:t>）</w:t>
      </w:r>
      <w:bookmarkEnd w:id="26"/>
      <w:bookmarkEnd w:id="27"/>
      <w:bookmarkEnd w:id="28"/>
      <w:bookmarkStart w:id="31" w:name="_Toc277082617"/>
      <w:bookmarkStart w:id="32" w:name="_Toc287607811"/>
      <w:bookmarkStart w:id="33" w:name="_Toc430530499"/>
      <w:bookmarkStart w:id="34" w:name="_Toc287620750"/>
      <w:bookmarkStart w:id="35" w:name="_Toc224103383"/>
    </w:p>
    <w:p>
      <w:pPr>
        <w:pStyle w:val="4"/>
        <w:spacing w:before="100" w:after="100" w:line="360" w:lineRule="auto"/>
        <w:rPr>
          <w:rFonts w:ascii="宋体" w:hAnsi="宋体"/>
          <w:color w:val="auto"/>
          <w:highlight w:val="none"/>
        </w:rPr>
      </w:pPr>
      <w:bookmarkStart w:id="36" w:name="_Toc67475637"/>
      <w:bookmarkStart w:id="37" w:name="_Toc68115908"/>
      <w:bookmarkStart w:id="38" w:name="_Toc14663"/>
      <w:bookmarkStart w:id="39" w:name="_Toc509218775"/>
      <w:r>
        <w:rPr>
          <w:rFonts w:hint="eastAsia" w:ascii="宋体" w:hAnsi="宋体"/>
          <w:color w:val="auto"/>
          <w:highlight w:val="none"/>
        </w:rPr>
        <w:t>评标办法前附表</w:t>
      </w:r>
      <w:bookmarkEnd w:id="36"/>
      <w:bookmarkEnd w:id="37"/>
      <w:bookmarkEnd w:id="38"/>
      <w:bookmarkEnd w:id="39"/>
    </w:p>
    <w:p>
      <w:pPr>
        <w:spacing w:line="360" w:lineRule="auto"/>
        <w:ind w:firstLine="420" w:firstLineChars="200"/>
        <w:rPr>
          <w:color w:val="auto"/>
          <w:szCs w:val="21"/>
          <w:highlight w:val="none"/>
        </w:rPr>
      </w:pPr>
      <w:r>
        <w:rPr>
          <w:color w:val="auto"/>
          <w:szCs w:val="21"/>
          <w:highlight w:val="none"/>
        </w:rPr>
        <w:t>评标办法前附表中的评审内容必须和参选人须知前附表中的对应内容一致，若参选人须知前附表中未作要求的内容，不得列入评标办法前附表作为评定依据。</w:t>
      </w:r>
    </w:p>
    <w:bookmarkEnd w:id="31"/>
    <w:bookmarkEnd w:id="32"/>
    <w:bookmarkEnd w:id="33"/>
    <w:bookmarkEnd w:id="34"/>
    <w:bookmarkEnd w:id="35"/>
    <w:tbl>
      <w:tblPr>
        <w:tblStyle w:val="5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992"/>
        <w:gridCol w:w="1991"/>
        <w:gridCol w:w="549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noWrap w:val="0"/>
            <w:vAlign w:val="center"/>
          </w:tcPr>
          <w:p>
            <w:pPr>
              <w:spacing w:line="360" w:lineRule="auto"/>
              <w:jc w:val="center"/>
              <w:rPr>
                <w:rFonts w:ascii="宋体" w:hAnsi="宋体"/>
                <w:b/>
                <w:color w:val="auto"/>
                <w:kern w:val="0"/>
                <w:highlight w:val="none"/>
              </w:rPr>
            </w:pPr>
            <w:bookmarkStart w:id="40" w:name="_Toc509218776"/>
            <w:r>
              <w:rPr>
                <w:rFonts w:ascii="宋体" w:hAnsi="宋体"/>
                <w:b/>
                <w:color w:val="auto"/>
                <w:kern w:val="0"/>
                <w:highlight w:val="none"/>
              </w:rPr>
              <w:t>条款号</w:t>
            </w:r>
          </w:p>
        </w:tc>
        <w:tc>
          <w:tcPr>
            <w:tcW w:w="1991" w:type="dxa"/>
            <w:noWrap w:val="0"/>
            <w:vAlign w:val="center"/>
          </w:tcPr>
          <w:p>
            <w:pPr>
              <w:spacing w:line="360" w:lineRule="auto"/>
              <w:jc w:val="center"/>
              <w:rPr>
                <w:rFonts w:ascii="宋体" w:hAnsi="宋体"/>
                <w:b/>
                <w:color w:val="auto"/>
                <w:kern w:val="0"/>
                <w:highlight w:val="none"/>
              </w:rPr>
            </w:pPr>
            <w:r>
              <w:rPr>
                <w:rFonts w:ascii="宋体" w:hAnsi="宋体"/>
                <w:b/>
                <w:color w:val="auto"/>
                <w:kern w:val="0"/>
                <w:highlight w:val="none"/>
              </w:rPr>
              <w:t>评审因素</w:t>
            </w:r>
          </w:p>
        </w:tc>
        <w:tc>
          <w:tcPr>
            <w:tcW w:w="5493" w:type="dxa"/>
            <w:noWrap w:val="0"/>
            <w:vAlign w:val="center"/>
          </w:tcPr>
          <w:p>
            <w:pPr>
              <w:spacing w:line="360" w:lineRule="auto"/>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hint="eastAsia" w:ascii="宋体" w:hAnsi="宋体"/>
                <w:color w:val="auto"/>
                <w:kern w:val="0"/>
                <w:highlight w:val="none"/>
              </w:rPr>
              <w:t>1</w:t>
            </w: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kern w:val="0"/>
                <w:highlight w:val="none"/>
              </w:rPr>
              <w:t>评标办法</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本次评标采用经评审的最低</w:t>
            </w:r>
            <w:r>
              <w:rPr>
                <w:rFonts w:hint="eastAsia" w:ascii="宋体" w:hAnsi="宋体"/>
                <w:color w:val="auto"/>
                <w:kern w:val="0"/>
                <w:highlight w:val="none"/>
                <w:lang w:val="en-US" w:eastAsia="zh-CN"/>
              </w:rPr>
              <w:t>投标</w:t>
            </w:r>
            <w:r>
              <w:rPr>
                <w:rFonts w:hint="eastAsia" w:ascii="宋体" w:hAnsi="宋体"/>
                <w:color w:val="auto"/>
                <w:kern w:val="0"/>
                <w:highlight w:val="none"/>
              </w:rPr>
              <w:t>价法，</w:t>
            </w:r>
            <w:r>
              <w:rPr>
                <w:rFonts w:hint="eastAsia" w:ascii="宋体" w:hAnsi="宋体"/>
                <w:color w:val="auto"/>
                <w:kern w:val="0"/>
                <w:highlight w:val="none"/>
                <w:lang w:val="en-US" w:eastAsia="zh-CN"/>
              </w:rPr>
              <w:t>公开比选</w:t>
            </w:r>
            <w:r>
              <w:rPr>
                <w:rFonts w:hint="eastAsia" w:ascii="宋体" w:hAnsi="宋体"/>
                <w:color w:val="auto"/>
                <w:kern w:val="0"/>
                <w:highlight w:val="none"/>
              </w:rPr>
              <w:t>委员会按照</w:t>
            </w:r>
            <w:r>
              <w:rPr>
                <w:rFonts w:hint="eastAsia" w:ascii="宋体" w:hAnsi="宋体"/>
                <w:color w:val="auto"/>
                <w:kern w:val="0"/>
                <w:highlight w:val="none"/>
                <w:lang w:val="en-US" w:eastAsia="zh-CN"/>
              </w:rPr>
              <w:t>报价得分从高到低依次</w:t>
            </w:r>
            <w:r>
              <w:rPr>
                <w:rFonts w:hint="eastAsia" w:ascii="宋体" w:hAnsi="宋体"/>
                <w:color w:val="auto"/>
                <w:kern w:val="0"/>
                <w:highlight w:val="none"/>
              </w:rPr>
              <w:t>进行排序，按照本章第2.</w:t>
            </w:r>
            <w:r>
              <w:rPr>
                <w:rFonts w:hint="eastAsia" w:ascii="宋体" w:hAnsi="宋体"/>
                <w:color w:val="auto"/>
                <w:kern w:val="0"/>
                <w:highlight w:val="none"/>
                <w:lang w:val="en-US" w:eastAsia="zh-CN"/>
              </w:rPr>
              <w:t>1.1-2.1.3</w:t>
            </w:r>
            <w:r>
              <w:rPr>
                <w:rFonts w:hint="eastAsia" w:ascii="宋体" w:hAnsi="宋体"/>
                <w:color w:val="auto"/>
                <w:kern w:val="0"/>
                <w:highlight w:val="none"/>
              </w:rPr>
              <w:t>款进行符合性审查，符合性审查合格的</w:t>
            </w:r>
            <w:r>
              <w:rPr>
                <w:rFonts w:hint="eastAsia" w:ascii="宋体" w:hAnsi="宋体"/>
                <w:color w:val="auto"/>
                <w:kern w:val="0"/>
                <w:highlight w:val="none"/>
                <w:lang w:val="en-US" w:eastAsia="zh-CN"/>
              </w:rPr>
              <w:t>参选人</w:t>
            </w:r>
            <w:r>
              <w:rPr>
                <w:rFonts w:hint="eastAsia" w:ascii="宋体" w:hAnsi="宋体"/>
                <w:color w:val="auto"/>
                <w:kern w:val="0"/>
                <w:highlight w:val="none"/>
              </w:rPr>
              <w:t>按报价</w:t>
            </w:r>
            <w:r>
              <w:rPr>
                <w:rFonts w:hint="eastAsia" w:ascii="宋体" w:hAnsi="宋体"/>
                <w:color w:val="auto"/>
                <w:kern w:val="0"/>
                <w:highlight w:val="none"/>
                <w:lang w:val="en-US" w:eastAsia="zh-CN"/>
              </w:rPr>
              <w:t>得分</w:t>
            </w:r>
            <w:r>
              <w:rPr>
                <w:rFonts w:hint="eastAsia" w:ascii="宋体" w:hAnsi="宋体"/>
                <w:color w:val="auto"/>
                <w:kern w:val="0"/>
                <w:highlight w:val="none"/>
              </w:rPr>
              <w:t>由</w:t>
            </w:r>
            <w:r>
              <w:rPr>
                <w:rFonts w:hint="eastAsia" w:ascii="宋体" w:hAnsi="宋体"/>
                <w:color w:val="auto"/>
                <w:kern w:val="0"/>
                <w:highlight w:val="none"/>
                <w:lang w:val="en-US" w:eastAsia="zh-CN"/>
              </w:rPr>
              <w:t>高</w:t>
            </w:r>
            <w:r>
              <w:rPr>
                <w:rFonts w:hint="eastAsia" w:ascii="宋体" w:hAnsi="宋体"/>
                <w:color w:val="auto"/>
                <w:kern w:val="0"/>
                <w:highlight w:val="none"/>
              </w:rPr>
              <w:t>到</w:t>
            </w:r>
            <w:r>
              <w:rPr>
                <w:rFonts w:hint="eastAsia" w:ascii="宋体" w:hAnsi="宋体"/>
                <w:color w:val="auto"/>
                <w:kern w:val="0"/>
                <w:highlight w:val="none"/>
                <w:lang w:val="en-US" w:eastAsia="zh-CN"/>
              </w:rPr>
              <w:t>低依次</w:t>
            </w:r>
            <w:r>
              <w:rPr>
                <w:rFonts w:hint="eastAsia" w:ascii="宋体" w:hAnsi="宋体"/>
                <w:color w:val="auto"/>
                <w:kern w:val="0"/>
                <w:highlight w:val="none"/>
              </w:rPr>
              <w:t>推荐</w:t>
            </w:r>
            <w:r>
              <w:rPr>
                <w:rFonts w:hint="eastAsia" w:ascii="宋体" w:hAnsi="宋体"/>
                <w:color w:val="auto"/>
                <w:kern w:val="0"/>
                <w:highlight w:val="none"/>
                <w:lang w:eastAsia="zh-CN"/>
              </w:rPr>
              <w:t>中选</w:t>
            </w:r>
            <w:r>
              <w:rPr>
                <w:rFonts w:hint="eastAsia" w:ascii="宋体" w:hAnsi="宋体"/>
                <w:color w:val="auto"/>
                <w:kern w:val="0"/>
                <w:highlight w:val="none"/>
              </w:rPr>
              <w:t>候选人。若出现</w:t>
            </w:r>
            <w:r>
              <w:rPr>
                <w:rFonts w:hint="eastAsia" w:ascii="宋体" w:hAnsi="宋体"/>
                <w:color w:val="auto"/>
                <w:kern w:val="0"/>
                <w:highlight w:val="none"/>
                <w:lang w:val="en-US" w:eastAsia="zh-CN"/>
              </w:rPr>
              <w:t>第一中选人参选人</w:t>
            </w:r>
            <w:r>
              <w:rPr>
                <w:rFonts w:hint="eastAsia" w:ascii="宋体" w:hAnsi="宋体"/>
                <w:color w:val="auto"/>
                <w:kern w:val="0"/>
                <w:highlight w:val="none"/>
              </w:rPr>
              <w:t>报价相同的，由</w:t>
            </w:r>
            <w:r>
              <w:rPr>
                <w:rFonts w:hint="eastAsia" w:ascii="宋体" w:hAnsi="宋体"/>
                <w:color w:val="auto"/>
                <w:kern w:val="0"/>
                <w:highlight w:val="none"/>
                <w:lang w:eastAsia="zh-CN"/>
              </w:rPr>
              <w:t>公开比选委员会</w:t>
            </w:r>
            <w:r>
              <w:rPr>
                <w:rFonts w:hint="eastAsia" w:ascii="宋体" w:hAnsi="宋体"/>
                <w:color w:val="auto"/>
                <w:kern w:val="0"/>
                <w:highlight w:val="none"/>
                <w:lang w:val="en-US" w:eastAsia="zh-CN"/>
              </w:rPr>
              <w:t>组织报价最低的单位进行第二次的参选报价，直至出现唯一最低报价为止</w:t>
            </w:r>
            <w:r>
              <w:rPr>
                <w:rFonts w:hint="eastAsia"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9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kern w:val="0"/>
                <w:highlight w:val="none"/>
              </w:rPr>
              <w:t>资格评审标准</w:t>
            </w:r>
          </w:p>
        </w:tc>
        <w:tc>
          <w:tcPr>
            <w:tcW w:w="1991"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hint="eastAsia" w:ascii="宋体" w:hAnsi="宋体"/>
                <w:color w:val="auto"/>
                <w:kern w:val="0"/>
                <w:highlight w:val="none"/>
              </w:rPr>
              <w:t>参选人资质条件、能力和信誉</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符合第二章“参选人须知”第</w:t>
            </w:r>
            <w:r>
              <w:rPr>
                <w:rFonts w:hint="eastAsia" w:ascii="宋体" w:hAnsi="宋体"/>
                <w:color w:val="auto"/>
                <w:kern w:val="0"/>
                <w:highlight w:val="none"/>
                <w:lang w:val="en-US" w:eastAsia="zh-CN"/>
              </w:rPr>
              <w:t>10</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9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r>
              <w:rPr>
                <w:rFonts w:ascii="宋体" w:hAnsi="宋体"/>
                <w:color w:val="auto"/>
                <w:kern w:val="0"/>
                <w:highlight w:val="none"/>
              </w:rPr>
              <w:t>形式评审标准</w:t>
            </w: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参选人名称</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与营业执照</w:t>
            </w:r>
            <w:r>
              <w:rPr>
                <w:rFonts w:hint="eastAsia" w:ascii="宋体" w:hAnsi="宋体"/>
                <w:color w:val="auto"/>
                <w:kern w:val="0"/>
                <w:highlight w:val="none"/>
              </w:rPr>
              <w:t>、资质证书</w:t>
            </w:r>
            <w:r>
              <w:rPr>
                <w:rFonts w:ascii="宋体" w:hAnsi="宋体"/>
                <w:color w:val="auto"/>
                <w:kern w:val="0"/>
                <w:highlight w:val="none"/>
              </w:rPr>
              <w:t>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参选函签字盖章</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参选函格式规定签字</w:t>
            </w:r>
            <w:r>
              <w:rPr>
                <w:rFonts w:hint="eastAsia" w:ascii="宋体" w:hAnsi="宋体"/>
                <w:color w:val="auto"/>
                <w:kern w:val="0"/>
                <w:highlight w:val="none"/>
              </w:rPr>
              <w:t>、</w:t>
            </w:r>
            <w:r>
              <w:rPr>
                <w:rFonts w:ascii="宋体" w:hAnsi="宋体"/>
                <w:color w:val="auto"/>
                <w:kern w:val="0"/>
                <w:highlight w:val="none"/>
              </w:rPr>
              <w:t>盖章的位置有法定代表人或其委托代理人签字（或盖章）、加盖单位公章。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参选文件格式</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符合</w:t>
            </w:r>
            <w:r>
              <w:rPr>
                <w:rFonts w:hint="eastAsia" w:ascii="宋体" w:hAnsi="宋体"/>
                <w:color w:val="auto"/>
                <w:kern w:val="0"/>
                <w:highlight w:val="none"/>
              </w:rPr>
              <w:t>第二</w:t>
            </w:r>
            <w:r>
              <w:rPr>
                <w:rFonts w:ascii="宋体" w:hAnsi="宋体"/>
                <w:color w:val="auto"/>
                <w:kern w:val="0"/>
                <w:highlight w:val="none"/>
              </w:rPr>
              <w:t>章“</w:t>
            </w:r>
            <w:r>
              <w:rPr>
                <w:rFonts w:hint="eastAsia" w:ascii="宋体" w:hAnsi="宋体"/>
                <w:color w:val="auto"/>
                <w:kern w:val="0"/>
                <w:highlight w:val="none"/>
              </w:rPr>
              <w:t>参选人须知</w:t>
            </w:r>
            <w:r>
              <w:rPr>
                <w:rFonts w:ascii="宋体" w:hAnsi="宋体"/>
                <w:color w:val="auto"/>
                <w:kern w:val="0"/>
                <w:highlight w:val="none"/>
              </w:rPr>
              <w:t>”</w:t>
            </w:r>
            <w:r>
              <w:rPr>
                <w:rFonts w:hint="eastAsia" w:ascii="宋体" w:hAnsi="宋体"/>
                <w:color w:val="auto"/>
                <w:kern w:val="0"/>
                <w:highlight w:val="none"/>
              </w:rPr>
              <w:t>第</w:t>
            </w:r>
            <w:r>
              <w:rPr>
                <w:rFonts w:hint="eastAsia" w:ascii="宋体" w:hAnsi="宋体"/>
                <w:color w:val="auto"/>
                <w:kern w:val="0"/>
                <w:highlight w:val="none"/>
                <w:lang w:val="en-US" w:eastAsia="zh-CN"/>
              </w:rPr>
              <w:t>21项</w:t>
            </w:r>
            <w:r>
              <w:rPr>
                <w:rFonts w:ascii="宋体" w:hAnsi="宋体"/>
                <w:color w:val="auto"/>
                <w:kern w:val="0"/>
                <w:highlight w:val="none"/>
              </w:rPr>
              <w:t>的要求。</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hint="eastAsia" w:ascii="宋体" w:hAnsi="宋体"/>
                <w:color w:val="auto"/>
                <w:kern w:val="0"/>
                <w:highlight w:val="none"/>
              </w:rPr>
              <w:t>参选文件份数</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hint="eastAsia" w:ascii="宋体" w:hAnsi="宋体"/>
                <w:color w:val="auto"/>
                <w:kern w:val="0"/>
                <w:highlight w:val="none"/>
              </w:rPr>
              <w:t>符合第二章“参选人须知”第</w:t>
            </w:r>
            <w:r>
              <w:rPr>
                <w:rFonts w:hint="eastAsia" w:ascii="宋体" w:hAnsi="宋体"/>
                <w:color w:val="auto"/>
                <w:kern w:val="0"/>
                <w:highlight w:val="none"/>
                <w:lang w:val="en-US" w:eastAsia="zh-CN"/>
              </w:rPr>
              <w:t>22</w:t>
            </w:r>
            <w:r>
              <w:rPr>
                <w:rFonts w:hint="eastAsia"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报价唯一</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只能有一个有效报价，在比选文件没有规定的情况下，不得提交选择性报价。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参选文件的签署</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hint="eastAsia" w:ascii="宋体" w:hAnsi="宋体"/>
                <w:color w:val="auto"/>
                <w:kern w:val="0"/>
                <w:highlight w:val="none"/>
              </w:rPr>
              <w:t xml:space="preserve">第六章 </w:t>
            </w:r>
            <w:r>
              <w:rPr>
                <w:rFonts w:ascii="宋体" w:hAnsi="宋体"/>
                <w:color w:val="auto"/>
                <w:kern w:val="0"/>
                <w:highlight w:val="none"/>
              </w:rPr>
              <w:t>参选文件</w:t>
            </w:r>
            <w:r>
              <w:rPr>
                <w:rFonts w:hint="eastAsia" w:ascii="宋体" w:hAnsi="宋体"/>
                <w:color w:val="auto"/>
                <w:kern w:val="0"/>
                <w:highlight w:val="none"/>
              </w:rPr>
              <w:t>格式要求</w:t>
            </w:r>
            <w:r>
              <w:rPr>
                <w:rFonts w:ascii="宋体" w:hAnsi="宋体"/>
                <w:color w:val="auto"/>
                <w:kern w:val="0"/>
                <w:highlight w:val="none"/>
              </w:rPr>
              <w:t>法定代表人或其委托代理人签字（或盖章）</w:t>
            </w:r>
            <w:r>
              <w:rPr>
                <w:rFonts w:hint="eastAsia" w:ascii="宋体" w:hAnsi="宋体"/>
                <w:color w:val="auto"/>
                <w:kern w:val="0"/>
                <w:highlight w:val="none"/>
              </w:rPr>
              <w:t>的须</w:t>
            </w:r>
            <w:r>
              <w:rPr>
                <w:rFonts w:ascii="宋体" w:hAnsi="宋体"/>
                <w:color w:val="auto"/>
                <w:kern w:val="0"/>
                <w:highlight w:val="none"/>
              </w:rPr>
              <w:t>齐全。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r>
              <w:rPr>
                <w:rFonts w:ascii="宋体" w:hAnsi="宋体"/>
                <w:color w:val="auto"/>
                <w:kern w:val="0"/>
                <w:highlight w:val="none"/>
              </w:rPr>
              <w:t>2.1.3</w:t>
            </w:r>
          </w:p>
        </w:tc>
        <w:tc>
          <w:tcPr>
            <w:tcW w:w="9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r>
              <w:rPr>
                <w:rFonts w:ascii="宋体" w:hAnsi="宋体"/>
                <w:color w:val="auto"/>
                <w:kern w:val="0"/>
                <w:highlight w:val="none"/>
              </w:rPr>
              <w:t>响应性评审标准</w:t>
            </w: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参选报价</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参选报价不得高于比选人公布的参选报价最高限价</w:t>
            </w:r>
            <w:r>
              <w:rPr>
                <w:rFonts w:hint="eastAsia"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p>
        </w:tc>
        <w:tc>
          <w:tcPr>
            <w:tcW w:w="992" w:type="dxa"/>
            <w:vMerge w:val="continue"/>
            <w:noWrap w:val="0"/>
            <w:textDirection w:val="tbRlV"/>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参选内容</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ascii="宋体" w:hAnsi="宋体"/>
                <w:color w:val="auto"/>
                <w:kern w:val="0"/>
                <w:highlight w:val="none"/>
              </w:rPr>
              <w:t>符合第二章“参选人须知”第</w:t>
            </w:r>
            <w:r>
              <w:rPr>
                <w:rFonts w:hint="eastAsia" w:ascii="宋体" w:hAnsi="宋体"/>
                <w:color w:val="auto"/>
                <w:kern w:val="0"/>
                <w:highlight w:val="none"/>
                <w:lang w:val="en-US" w:eastAsia="zh-CN"/>
              </w:rPr>
              <w:t>7</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hint="eastAsia" w:ascii="宋体" w:hAnsi="宋体"/>
                <w:color w:val="auto"/>
                <w:kern w:val="0"/>
                <w:highlight w:val="none"/>
              </w:rPr>
              <w:t>工期</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ascii="宋体" w:hAnsi="宋体"/>
                <w:color w:val="auto"/>
                <w:kern w:val="0"/>
                <w:highlight w:val="none"/>
              </w:rPr>
              <w:t>符合第二章“参选人须知”第</w:t>
            </w:r>
            <w:r>
              <w:rPr>
                <w:rFonts w:hint="eastAsia" w:ascii="宋体" w:hAnsi="宋体"/>
                <w:color w:val="auto"/>
                <w:kern w:val="0"/>
                <w:highlight w:val="none"/>
                <w:lang w:val="en-US" w:eastAsia="zh-CN"/>
              </w:rPr>
              <w:t>8</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质量</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ascii="宋体" w:hAnsi="宋体"/>
                <w:color w:val="auto"/>
                <w:kern w:val="0"/>
                <w:highlight w:val="none"/>
              </w:rPr>
              <w:t>符合第二章“参选人须知”第</w:t>
            </w:r>
            <w:r>
              <w:rPr>
                <w:rFonts w:hint="eastAsia" w:ascii="宋体" w:hAnsi="宋体"/>
                <w:color w:val="auto"/>
                <w:kern w:val="0"/>
                <w:highlight w:val="none"/>
                <w:lang w:val="en-US" w:eastAsia="zh-CN"/>
              </w:rPr>
              <w:t>9</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参选有效期</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ascii="宋体" w:hAnsi="宋体"/>
                <w:color w:val="auto"/>
                <w:kern w:val="0"/>
                <w:highlight w:val="none"/>
              </w:rPr>
              <w:t>符合第二章“参选人须知”第</w:t>
            </w:r>
            <w:r>
              <w:rPr>
                <w:rFonts w:hint="eastAsia" w:ascii="宋体" w:hAnsi="宋体"/>
                <w:color w:val="auto"/>
                <w:kern w:val="0"/>
                <w:highlight w:val="none"/>
                <w:lang w:val="en-US" w:eastAsia="zh-CN"/>
              </w:rPr>
              <w:t>19</w:t>
            </w:r>
            <w:r>
              <w:rPr>
                <w:rFonts w:ascii="宋体" w:hAnsi="宋体"/>
                <w:color w:val="auto"/>
                <w:kern w:val="0"/>
                <w:highlight w:val="none"/>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权利义务</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合同主要条款</w:t>
            </w:r>
            <w:r>
              <w:rPr>
                <w:rFonts w:ascii="宋体" w:hAnsi="宋体"/>
                <w:color w:val="auto"/>
                <w:kern w:val="0"/>
                <w:highlight w:val="none"/>
              </w:rPr>
              <w:t>”规定，参选文件不应附有比选人不能接受的条件。</w:t>
            </w:r>
            <w:r>
              <w:rPr>
                <w:rFonts w:hint="eastAsia" w:ascii="宋体" w:hAnsi="宋体" w:cs="宋体"/>
                <w:color w:val="auto"/>
                <w:kern w:val="0"/>
                <w:highlight w:val="none"/>
              </w:rPr>
              <w:t>（由参选人承诺，承诺书格式自拟。）</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参选报价算术错误修正</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符合第三章3.</w:t>
            </w:r>
            <w:r>
              <w:rPr>
                <w:rFonts w:hint="eastAsia" w:ascii="宋体" w:hAnsi="宋体"/>
                <w:color w:val="auto"/>
                <w:kern w:val="0"/>
                <w:highlight w:val="none"/>
                <w:lang w:val="en-US" w:eastAsia="zh-CN"/>
              </w:rPr>
              <w:t>2</w:t>
            </w:r>
            <w:r>
              <w:rPr>
                <w:rFonts w:ascii="宋体" w:hAnsi="宋体"/>
                <w:color w:val="auto"/>
                <w:kern w:val="0"/>
                <w:highlight w:val="none"/>
              </w:rPr>
              <w:t>.3项规定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99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highlight w:val="none"/>
              </w:rPr>
            </w:pPr>
          </w:p>
        </w:tc>
        <w:tc>
          <w:tcPr>
            <w:tcW w:w="199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olor w:val="auto"/>
                <w:kern w:val="0"/>
                <w:highlight w:val="none"/>
              </w:rPr>
            </w:pPr>
            <w:r>
              <w:rPr>
                <w:rFonts w:ascii="宋体" w:hAnsi="宋体"/>
                <w:color w:val="auto"/>
                <w:kern w:val="0"/>
                <w:highlight w:val="none"/>
              </w:rPr>
              <w:t>实质性要求</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hint="eastAsia" w:ascii="宋体" w:hAnsi="宋体"/>
                <w:color w:val="auto"/>
                <w:kern w:val="0"/>
                <w:highlight w:val="none"/>
              </w:rPr>
              <w:t>本次参选不得有串通参选</w:t>
            </w:r>
            <w:r>
              <w:rPr>
                <w:rFonts w:ascii="宋体" w:hAnsi="宋体"/>
                <w:color w:val="auto"/>
                <w:kern w:val="0"/>
                <w:highlight w:val="none"/>
              </w:rPr>
              <w:t>、弄虚作假等其他违反招参选相关法律、法规行为。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hint="eastAsia" w:ascii="宋体" w:hAnsi="宋体" w:cs="宋体"/>
                <w:color w:val="auto"/>
                <w:kern w:val="0"/>
                <w:highlight w:val="none"/>
              </w:rPr>
              <w:t>按公开比选委员会要求澄清、说明或补正。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center"/>
              <w:textAlignment w:val="auto"/>
              <w:rPr>
                <w:rFonts w:ascii="宋体" w:hAnsi="宋体"/>
                <w:color w:val="auto"/>
                <w:kern w:val="0"/>
                <w:highlight w:val="none"/>
              </w:rPr>
            </w:pPr>
            <w:r>
              <w:rPr>
                <w:rFonts w:ascii="宋体" w:hAnsi="宋体"/>
                <w:color w:val="auto"/>
                <w:kern w:val="0"/>
                <w:highlight w:val="none"/>
              </w:rPr>
              <w:t>2.2.1</w:t>
            </w:r>
          </w:p>
        </w:tc>
        <w:tc>
          <w:tcPr>
            <w:tcW w:w="1991" w:type="dxa"/>
            <w:noWrap w:val="0"/>
            <w:vAlign w:val="center"/>
          </w:tcPr>
          <w:p>
            <w:pPr>
              <w:keepNext w:val="0"/>
              <w:keepLines w:val="0"/>
              <w:pageBreakBefore w:val="0"/>
              <w:widowControl w:val="0"/>
              <w:tabs>
                <w:tab w:val="left" w:pos="1875"/>
              </w:tabs>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49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highlight w:val="none"/>
              </w:rPr>
            </w:pPr>
            <w:r>
              <w:rPr>
                <w:rFonts w:ascii="宋体" w:hAnsi="宋体"/>
                <w:color w:val="auto"/>
                <w:kern w:val="0"/>
                <w:highlight w:val="none"/>
              </w:rPr>
              <w:t>参选</w:t>
            </w:r>
            <w:r>
              <w:rPr>
                <w:rFonts w:hint="eastAsia" w:ascii="宋体" w:hAnsi="宋体"/>
                <w:color w:val="auto"/>
                <w:kern w:val="0"/>
                <w:highlight w:val="none"/>
              </w:rPr>
              <w:t>报价</w:t>
            </w:r>
            <w:r>
              <w:rPr>
                <w:rFonts w:hint="eastAsia" w:ascii="宋体" w:hAnsi="宋体"/>
                <w:color w:val="auto"/>
                <w:kern w:val="0"/>
                <w:highlight w:val="none"/>
                <w:lang w:val="en-US" w:eastAsia="zh-CN"/>
              </w:rPr>
              <w:t>100</w:t>
            </w:r>
            <w:r>
              <w:rPr>
                <w:rFonts w:hint="eastAsia" w:ascii="宋体" w:hAnsi="宋体"/>
                <w:color w:val="auto"/>
                <w:kern w:val="0"/>
                <w:highlight w:val="non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highlight w:val="none"/>
              </w:rPr>
              <w:t>3</w:t>
            </w:r>
          </w:p>
        </w:tc>
        <w:tc>
          <w:tcPr>
            <w:tcW w:w="9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kern w:val="0"/>
                <w:highlight w:val="none"/>
              </w:rPr>
            </w:pPr>
            <w:r>
              <w:rPr>
                <w:rFonts w:ascii="宋体" w:hAnsi="宋体"/>
                <w:color w:val="auto"/>
                <w:highlight w:val="none"/>
              </w:rPr>
              <w:t>评标程序</w:t>
            </w:r>
          </w:p>
        </w:tc>
        <w:tc>
          <w:tcPr>
            <w:tcW w:w="7484"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1.按本章评标办法第</w:t>
            </w:r>
            <w:r>
              <w:rPr>
                <w:rFonts w:hint="eastAsia" w:ascii="宋体" w:hAnsi="宋体"/>
                <w:color w:val="auto"/>
                <w:szCs w:val="21"/>
                <w:highlight w:val="none"/>
                <w:lang w:val="en-US" w:eastAsia="zh-CN"/>
              </w:rPr>
              <w:t>2.1</w:t>
            </w:r>
            <w:r>
              <w:rPr>
                <w:rFonts w:hint="eastAsia" w:ascii="宋体" w:hAnsi="宋体"/>
                <w:color w:val="auto"/>
                <w:szCs w:val="21"/>
                <w:highlight w:val="none"/>
              </w:rPr>
              <w:t>.1</w:t>
            </w:r>
            <w:r>
              <w:rPr>
                <w:rFonts w:hint="eastAsia" w:ascii="宋体" w:hAnsi="宋体"/>
                <w:color w:val="auto"/>
                <w:szCs w:val="21"/>
                <w:highlight w:val="none"/>
                <w:lang w:val="en-US" w:eastAsia="zh-CN"/>
              </w:rPr>
              <w:t>-2.1.3</w:t>
            </w:r>
            <w:r>
              <w:rPr>
                <w:rFonts w:hint="eastAsia" w:ascii="宋体" w:hAnsi="宋体"/>
                <w:color w:val="auto"/>
                <w:szCs w:val="21"/>
                <w:highlight w:val="none"/>
              </w:rPr>
              <w:t>款进行初步评审。未通过初步评审或公开比选委员会认定为无效的参选文件的不再进行后续评审。</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2.对初步评审合格的参选人按照本附表第3.</w:t>
            </w:r>
            <w:r>
              <w:rPr>
                <w:rFonts w:hint="eastAsia" w:ascii="宋体" w:hAnsi="宋体"/>
                <w:color w:val="auto"/>
                <w:szCs w:val="21"/>
                <w:highlight w:val="none"/>
                <w:lang w:val="en-US" w:eastAsia="zh-CN"/>
              </w:rPr>
              <w:t>1</w:t>
            </w:r>
            <w:r>
              <w:rPr>
                <w:rFonts w:hint="eastAsia" w:ascii="宋体" w:hAnsi="宋体"/>
                <w:color w:val="auto"/>
                <w:szCs w:val="21"/>
                <w:highlight w:val="none"/>
              </w:rPr>
              <w:t>规定的评分方法对参选报价进行评分。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val="en-US" w:eastAsia="zh-CN"/>
              </w:rPr>
              <w:t>按照报价</w:t>
            </w:r>
            <w:r>
              <w:rPr>
                <w:rFonts w:hint="eastAsia" w:ascii="宋体" w:hAnsi="宋体"/>
                <w:color w:val="auto"/>
                <w:szCs w:val="21"/>
                <w:highlight w:val="none"/>
              </w:rPr>
              <w:t>得分由高至低前三名参选人为中选候选人。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.有效参选人不足三个的，但是有效参选人的</w:t>
            </w:r>
            <w:r>
              <w:rPr>
                <w:rFonts w:hint="eastAsia" w:ascii="宋体" w:hAnsi="宋体"/>
                <w:color w:val="auto"/>
                <w:szCs w:val="21"/>
                <w:highlight w:val="none"/>
                <w:lang w:val="en-US" w:eastAsia="zh-CN"/>
              </w:rPr>
              <w:t>报价</w:t>
            </w:r>
            <w:r>
              <w:rPr>
                <w:rFonts w:hint="eastAsia" w:ascii="宋体" w:hAnsi="宋体"/>
                <w:color w:val="auto"/>
                <w:szCs w:val="21"/>
                <w:highlight w:val="none"/>
              </w:rPr>
              <w:t>仍然具有市场竞争力，并满足比选文件要求的，公开比选委员会可继续评标并确定中选候选人。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38" w:hRule="atLeast"/>
          <w:jc w:val="center"/>
        </w:trPr>
        <w:tc>
          <w:tcPr>
            <w:tcW w:w="99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3.1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p>
        </w:tc>
        <w:tc>
          <w:tcPr>
            <w:tcW w:w="9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olor w:val="auto"/>
                <w:highlight w:val="none"/>
                <w:lang w:val="en-US" w:eastAsia="zh-CN"/>
              </w:rPr>
            </w:pPr>
            <w:r>
              <w:rPr>
                <w:rFonts w:hint="eastAsia" w:ascii="宋体" w:hAnsi="宋体"/>
                <w:color w:val="auto"/>
                <w:highlight w:val="none"/>
                <w:lang w:val="en-US" w:eastAsia="zh-CN"/>
              </w:rPr>
              <w:t>参选报价得分</w:t>
            </w:r>
          </w:p>
        </w:tc>
        <w:tc>
          <w:tcPr>
            <w:tcW w:w="1991"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olor w:val="auto"/>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auto"/>
                <w:highlight w:val="none"/>
              </w:rPr>
            </w:pPr>
            <w:r>
              <w:rPr>
                <w:rFonts w:hint="eastAsia" w:ascii="宋体" w:hAnsi="宋体"/>
                <w:color w:val="auto"/>
                <w:highlight w:val="none"/>
                <w:lang w:val="en-US" w:eastAsia="zh-CN"/>
              </w:rPr>
              <w:t>执行</w:t>
            </w:r>
            <w:r>
              <w:rPr>
                <w:rFonts w:hint="eastAsia" w:ascii="宋体" w:hAnsi="宋体"/>
                <w:color w:val="auto"/>
                <w:highlight w:val="none"/>
              </w:rPr>
              <w:t>报价（</w:t>
            </w:r>
            <w:r>
              <w:rPr>
                <w:rFonts w:hint="eastAsia" w:ascii="宋体" w:hAnsi="宋体"/>
                <w:color w:val="auto"/>
                <w:highlight w:val="none"/>
                <w:lang w:val="en-US" w:eastAsia="zh-CN"/>
              </w:rPr>
              <w:t>100</w:t>
            </w:r>
            <w:r>
              <w:rPr>
                <w:rFonts w:hint="eastAsia" w:ascii="宋体" w:hAnsi="宋体"/>
                <w:color w:val="auto"/>
                <w:highlight w:val="none"/>
              </w:rPr>
              <w:t>分）</w:t>
            </w:r>
          </w:p>
        </w:tc>
        <w:tc>
          <w:tcPr>
            <w:tcW w:w="5493"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rPr>
              <w:t>有效参选报价：参选人的</w:t>
            </w:r>
            <w:r>
              <w:rPr>
                <w:rFonts w:hint="eastAsia" w:ascii="宋体" w:hAnsi="宋体"/>
                <w:color w:val="auto"/>
                <w:kern w:val="0"/>
                <w:szCs w:val="21"/>
                <w:highlight w:val="none"/>
                <w:lang w:val="en-US" w:eastAsia="zh-CN"/>
              </w:rPr>
              <w:t>总报价低于总价的最高限价</w:t>
            </w:r>
            <w:r>
              <w:rPr>
                <w:rFonts w:hint="eastAsia" w:ascii="宋体" w:hAnsi="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Times New Roman"/>
                <w:b w:val="0"/>
                <w:bCs w:val="0"/>
                <w:color w:val="auto"/>
                <w:kern w:val="0"/>
                <w:sz w:val="21"/>
                <w:szCs w:val="21"/>
                <w:highlight w:val="none"/>
                <w:lang w:val="en-US" w:eastAsia="zh-CN" w:bidi="ar-SA"/>
              </w:rPr>
            </w:pPr>
            <w:r>
              <w:rPr>
                <w:rFonts w:hint="eastAsia" w:ascii="宋体" w:hAnsi="宋体" w:eastAsia="宋体" w:cs="Times New Roman"/>
                <w:b w:val="0"/>
                <w:bCs w:val="0"/>
                <w:color w:val="auto"/>
                <w:kern w:val="0"/>
                <w:sz w:val="21"/>
                <w:szCs w:val="21"/>
                <w:highlight w:val="none"/>
                <w:lang w:val="en-US" w:eastAsia="zh-CN" w:bidi="ar-SA"/>
              </w:rPr>
              <w:t>所有有效报价中的</w:t>
            </w:r>
            <w:r>
              <w:rPr>
                <w:rFonts w:hint="eastAsia" w:ascii="宋体" w:hAnsi="宋体" w:cs="Times New Roman"/>
                <w:b w:val="0"/>
                <w:bCs w:val="0"/>
                <w:color w:val="auto"/>
                <w:kern w:val="0"/>
                <w:sz w:val="21"/>
                <w:szCs w:val="21"/>
                <w:highlight w:val="none"/>
                <w:lang w:val="en-US" w:eastAsia="zh-CN" w:bidi="ar-SA"/>
              </w:rPr>
              <w:t>最低总价</w:t>
            </w:r>
            <w:r>
              <w:rPr>
                <w:rFonts w:hint="eastAsia" w:ascii="宋体" w:hAnsi="宋体" w:eastAsia="宋体" w:cs="Times New Roman"/>
                <w:b w:val="0"/>
                <w:bCs w:val="0"/>
                <w:color w:val="auto"/>
                <w:kern w:val="0"/>
                <w:sz w:val="21"/>
                <w:szCs w:val="21"/>
                <w:highlight w:val="none"/>
                <w:lang w:val="en-US" w:eastAsia="zh-CN" w:bidi="ar-SA"/>
              </w:rPr>
              <w:t>为评标基准</w:t>
            </w:r>
            <w:r>
              <w:rPr>
                <w:rFonts w:hint="eastAsia" w:ascii="宋体" w:hAnsi="宋体" w:cs="Times New Roman"/>
                <w:b w:val="0"/>
                <w:bCs w:val="0"/>
                <w:color w:val="auto"/>
                <w:kern w:val="0"/>
                <w:sz w:val="21"/>
                <w:szCs w:val="21"/>
                <w:highlight w:val="none"/>
                <w:lang w:val="en-US" w:eastAsia="zh-CN" w:bidi="ar-SA"/>
              </w:rPr>
              <w:t>价</w:t>
            </w:r>
            <w:r>
              <w:rPr>
                <w:rFonts w:hint="eastAsia" w:ascii="宋体" w:hAnsi="宋体" w:eastAsia="宋体" w:cs="Times New Roman"/>
                <w:b w:val="0"/>
                <w:bCs w:val="0"/>
                <w:color w:val="auto"/>
                <w:kern w:val="0"/>
                <w:sz w:val="21"/>
                <w:szCs w:val="21"/>
                <w:highlight w:val="none"/>
                <w:lang w:val="en-US" w:eastAsia="zh-CN" w:bidi="ar-SA"/>
              </w:rPr>
              <w:t>。</w:t>
            </w:r>
          </w:p>
          <w:p>
            <w:pPr>
              <w:keepNext w:val="0"/>
              <w:keepLines w:val="0"/>
              <w:pageBreakBefore w:val="0"/>
              <w:widowControl w:val="0"/>
              <w:shd w:val="clear" w:color="auto" w:fill="FFFFFF"/>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各有效的</w:t>
            </w:r>
            <w:r>
              <w:rPr>
                <w:rFonts w:hint="eastAsia" w:ascii="宋体" w:hAnsi="宋体" w:cs="宋体"/>
                <w:color w:val="auto"/>
                <w:highlight w:val="none"/>
                <w:lang w:val="en-US" w:eastAsia="zh-CN"/>
              </w:rPr>
              <w:t>参选报价</w:t>
            </w:r>
            <w:r>
              <w:rPr>
                <w:rFonts w:hint="eastAsia" w:ascii="宋体" w:hAnsi="宋体" w:cs="宋体"/>
                <w:color w:val="auto"/>
                <w:highlight w:val="none"/>
              </w:rPr>
              <w:t>先得满分</w:t>
            </w:r>
            <w:r>
              <w:rPr>
                <w:rFonts w:hint="eastAsia" w:ascii="Calibri" w:hAnsi="Calibri"/>
                <w:color w:val="auto"/>
                <w:highlight w:val="none"/>
                <w:lang w:val="en-US" w:eastAsia="zh-CN"/>
              </w:rPr>
              <w:t>100</w:t>
            </w:r>
            <w:r>
              <w:rPr>
                <w:rFonts w:hint="eastAsia" w:ascii="宋体" w:hAnsi="宋体" w:cs="宋体"/>
                <w:color w:val="auto"/>
                <w:highlight w:val="none"/>
              </w:rPr>
              <w:t>分。在此基础上，</w:t>
            </w:r>
            <w:r>
              <w:rPr>
                <w:rFonts w:hint="eastAsia" w:ascii="宋体" w:hAnsi="宋体" w:cs="宋体"/>
                <w:color w:val="auto"/>
                <w:highlight w:val="none"/>
                <w:lang w:val="en-US" w:eastAsia="zh-CN"/>
              </w:rPr>
              <w:t>参选报价</w:t>
            </w:r>
            <w:r>
              <w:rPr>
                <w:rFonts w:hint="eastAsia" w:ascii="宋体" w:hAnsi="宋体" w:cs="宋体"/>
                <w:color w:val="auto"/>
                <w:highlight w:val="none"/>
              </w:rPr>
              <w:t>与评标基准</w:t>
            </w:r>
            <w:r>
              <w:rPr>
                <w:rFonts w:hint="eastAsia" w:ascii="宋体" w:hAnsi="宋体" w:cs="宋体"/>
                <w:color w:val="auto"/>
                <w:highlight w:val="none"/>
                <w:lang w:val="en-US" w:eastAsia="zh-CN"/>
              </w:rPr>
              <w:t>价</w:t>
            </w:r>
            <w:r>
              <w:rPr>
                <w:rFonts w:hint="eastAsia" w:ascii="宋体" w:hAnsi="宋体" w:cs="宋体"/>
                <w:color w:val="auto"/>
                <w:highlight w:val="none"/>
              </w:rPr>
              <w:t>相比，每</w:t>
            </w:r>
            <w:r>
              <w:rPr>
                <w:rFonts w:hint="eastAsia" w:ascii="宋体" w:hAnsi="宋体" w:cs="宋体"/>
                <w:color w:val="auto"/>
                <w:highlight w:val="none"/>
                <w:lang w:val="en-US" w:eastAsia="zh-CN"/>
              </w:rPr>
              <w:t>高</w:t>
            </w:r>
            <w:r>
              <w:rPr>
                <w:rFonts w:hint="eastAsia" w:ascii="Calibri" w:hAnsi="Calibri" w:eastAsia="Calibri"/>
                <w:color w:val="auto"/>
                <w:highlight w:val="none"/>
              </w:rPr>
              <w:t>1</w:t>
            </w:r>
            <w:r>
              <w:rPr>
                <w:rFonts w:hint="eastAsia" w:ascii="宋体" w:hAnsi="宋体" w:cs="宋体"/>
                <w:color w:val="auto"/>
                <w:highlight w:val="none"/>
              </w:rPr>
              <w:t>％扣</w:t>
            </w:r>
            <w:r>
              <w:rPr>
                <w:rFonts w:hint="eastAsia" w:ascii="Calibri" w:hAnsi="Calibri" w:eastAsia="Calibri"/>
                <w:color w:val="auto"/>
                <w:highlight w:val="none"/>
              </w:rPr>
              <w:t>0.2</w:t>
            </w:r>
            <w:r>
              <w:rPr>
                <w:rFonts w:hint="eastAsia" w:ascii="宋体" w:hAnsi="宋体" w:cs="宋体"/>
                <w:color w:val="auto"/>
                <w:highlight w:val="none"/>
              </w:rPr>
              <w:t>分</w:t>
            </w:r>
            <w:r>
              <w:rPr>
                <w:rFonts w:hint="eastAsia" w:ascii="Calibri" w:hAnsi="Calibri" w:eastAsia="Calibri"/>
                <w:color w:val="auto"/>
                <w:highlight w:val="none"/>
              </w:rPr>
              <w:t xml:space="preserve">, </w:t>
            </w:r>
            <w:r>
              <w:rPr>
                <w:rFonts w:hint="eastAsia" w:ascii="宋体" w:hAnsi="宋体" w:cs="宋体"/>
                <w:color w:val="auto"/>
                <w:highlight w:val="none"/>
              </w:rPr>
              <w:t>扣完为止。</w:t>
            </w:r>
          </w:p>
          <w:p>
            <w:pPr>
              <w:keepNext w:val="0"/>
              <w:keepLines w:val="0"/>
              <w:pageBreakBefore w:val="0"/>
              <w:widowControl w:val="0"/>
              <w:shd w:val="clear" w:color="auto" w:fill="FFFFFF"/>
              <w:kinsoku/>
              <w:wordWrap/>
              <w:overflowPunct/>
              <w:topLinePunct w:val="0"/>
              <w:autoSpaceDE/>
              <w:autoSpaceDN/>
              <w:bidi w:val="0"/>
              <w:adjustRightInd/>
              <w:snapToGrid/>
              <w:spacing w:line="400" w:lineRule="exact"/>
              <w:ind w:firstLine="510"/>
              <w:textAlignment w:val="auto"/>
              <w:rPr>
                <w:rFonts w:ascii="宋体" w:hAnsi="宋体" w:cs="宋体"/>
                <w:b/>
                <w:color w:val="auto"/>
                <w:highlight w:val="none"/>
              </w:rPr>
            </w:pPr>
            <w:r>
              <w:rPr>
                <w:rFonts w:hint="eastAsia" w:ascii="宋体" w:hAnsi="宋体" w:cs="宋体"/>
                <w:b/>
                <w:color w:val="auto"/>
                <w:highlight w:val="none"/>
              </w:rPr>
              <w:t>计算方法：</w:t>
            </w:r>
          </w:p>
          <w:p>
            <w:pPr>
              <w:keepNext w:val="0"/>
              <w:keepLines w:val="0"/>
              <w:pageBreakBefore w:val="0"/>
              <w:widowControl w:val="0"/>
              <w:shd w:val="clear" w:color="auto" w:fill="FFFFFF"/>
              <w:kinsoku/>
              <w:wordWrap/>
              <w:overflowPunct/>
              <w:topLinePunct w:val="0"/>
              <w:autoSpaceDE/>
              <w:autoSpaceDN/>
              <w:bidi w:val="0"/>
              <w:adjustRightInd/>
              <w:snapToGrid/>
              <w:spacing w:line="400" w:lineRule="exact"/>
              <w:ind w:firstLine="510"/>
              <w:textAlignment w:val="auto"/>
              <w:rPr>
                <w:rFonts w:hint="eastAsia" w:ascii="Calibri" w:hAnsi="Calibri" w:eastAsia="Calibri"/>
                <w:b/>
                <w:color w:val="auto"/>
                <w:highlight w:val="none"/>
              </w:rPr>
            </w:pPr>
            <w:r>
              <w:rPr>
                <w:rFonts w:hint="eastAsia" w:ascii="宋体" w:hAnsi="宋体" w:cs="宋体"/>
                <w:b/>
                <w:color w:val="auto"/>
                <w:highlight w:val="none"/>
                <w:lang w:val="en-US" w:eastAsia="zh-CN"/>
              </w:rPr>
              <w:t>参选</w:t>
            </w:r>
            <w:r>
              <w:rPr>
                <w:rFonts w:ascii="宋体" w:hAnsi="宋体" w:cs="宋体"/>
                <w:b/>
                <w:color w:val="auto"/>
                <w:highlight w:val="none"/>
              </w:rPr>
              <w:t>人</w:t>
            </w:r>
            <w:r>
              <w:rPr>
                <w:rFonts w:hint="eastAsia" w:ascii="宋体" w:hAnsi="宋体" w:cs="宋体"/>
                <w:b/>
                <w:color w:val="auto"/>
                <w:highlight w:val="none"/>
                <w:lang w:val="en-US" w:eastAsia="zh-CN"/>
              </w:rPr>
              <w:t>报价</w:t>
            </w:r>
            <w:r>
              <w:rPr>
                <w:rFonts w:ascii="宋体" w:hAnsi="宋体" w:cs="宋体"/>
                <w:b/>
                <w:color w:val="auto"/>
                <w:highlight w:val="none"/>
              </w:rPr>
              <w:t>得分</w:t>
            </w:r>
            <w:r>
              <w:rPr>
                <w:rFonts w:hint="eastAsia" w:ascii="宋体" w:hAnsi="宋体" w:cs="宋体"/>
                <w:b/>
                <w:color w:val="auto"/>
                <w:highlight w:val="none"/>
              </w:rPr>
              <w:t>=</w:t>
            </w:r>
            <w:r>
              <w:rPr>
                <w:rFonts w:hint="eastAsia" w:ascii="宋体" w:hAnsi="宋体" w:cs="宋体"/>
                <w:b/>
                <w:color w:val="auto"/>
                <w:highlight w:val="none"/>
                <w:lang w:val="en-US" w:eastAsia="zh-CN"/>
              </w:rPr>
              <w:t>100</w:t>
            </w:r>
            <w:r>
              <w:rPr>
                <w:rFonts w:hint="eastAsia" w:ascii="宋体" w:hAnsi="宋体" w:cs="宋体"/>
                <w:b/>
                <w:color w:val="auto"/>
                <w:highlight w:val="none"/>
              </w:rPr>
              <w:t>-</w:t>
            </w:r>
            <w:r>
              <w:rPr>
                <w:rFonts w:hint="eastAsia" w:ascii="宋体" w:hAnsi="宋体" w:cs="宋体"/>
                <w:b/>
                <w:color w:val="auto"/>
                <w:highlight w:val="none"/>
                <w:lang w:eastAsia="zh-CN"/>
              </w:rPr>
              <w:t>（</w:t>
            </w:r>
            <w:r>
              <w:rPr>
                <w:rFonts w:hint="eastAsia" w:ascii="宋体" w:hAnsi="宋体" w:cs="宋体"/>
                <w:b/>
                <w:color w:val="auto"/>
                <w:highlight w:val="none"/>
                <w:lang w:val="en-US" w:eastAsia="zh-CN"/>
              </w:rPr>
              <w:t>总报价-</w:t>
            </w:r>
            <w:r>
              <w:rPr>
                <w:rFonts w:ascii="宋体" w:hAnsi="宋体" w:cs="宋体"/>
                <w:b/>
                <w:color w:val="auto"/>
                <w:highlight w:val="none"/>
              </w:rPr>
              <w:t>评标基准</w:t>
            </w:r>
            <w:r>
              <w:rPr>
                <w:rFonts w:hint="eastAsia" w:ascii="宋体" w:hAnsi="宋体" w:cs="宋体"/>
                <w:b/>
                <w:color w:val="auto"/>
                <w:highlight w:val="none"/>
                <w:lang w:val="en-US" w:eastAsia="zh-CN"/>
              </w:rPr>
              <w:t>价</w:t>
            </w:r>
            <w:r>
              <w:rPr>
                <w:rFonts w:hint="eastAsia" w:ascii="宋体" w:hAnsi="宋体" w:cs="宋体"/>
                <w:b/>
                <w:color w:val="auto"/>
                <w:highlight w:val="none"/>
                <w:lang w:eastAsia="zh-CN"/>
              </w:rPr>
              <w:t>）</w:t>
            </w:r>
            <w:r>
              <w:rPr>
                <w:rFonts w:hint="eastAsia" w:ascii="宋体" w:hAnsi="宋体" w:cs="宋体"/>
                <w:b/>
                <w:color w:val="auto"/>
                <w:highlight w:val="none"/>
                <w:lang w:val="en-US" w:eastAsia="zh-CN"/>
              </w:rPr>
              <w:t>/评标基准价</w:t>
            </w:r>
            <w:r>
              <w:rPr>
                <w:rFonts w:hint="eastAsia" w:ascii="宋体" w:hAnsi="宋体" w:cs="宋体"/>
                <w:b/>
                <w:color w:val="auto"/>
                <w:highlight w:val="none"/>
              </w:rPr>
              <w:t>×</w:t>
            </w:r>
            <w:r>
              <w:rPr>
                <w:rFonts w:hint="eastAsia" w:ascii="宋体" w:hAnsi="宋体" w:cs="宋体"/>
                <w:b/>
                <w:color w:val="auto"/>
                <w:highlight w:val="none"/>
                <w:lang w:val="en-US" w:eastAsia="zh-CN"/>
              </w:rPr>
              <w:t>100</w:t>
            </w:r>
            <w:r>
              <w:rPr>
                <w:rFonts w:hint="eastAsia" w:ascii="宋体" w:hAnsi="宋体" w:cs="宋体"/>
                <w:b/>
                <w:color w:val="auto"/>
                <w:highlight w:val="none"/>
              </w:rPr>
              <w:t>×0</w:t>
            </w:r>
            <w:r>
              <w:rPr>
                <w:rFonts w:ascii="宋体" w:hAnsi="宋体" w:cs="宋体"/>
                <w:b/>
                <w:color w:val="auto"/>
                <w:highlight w:val="none"/>
              </w:rPr>
              <w:t>.2</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kern w:val="0"/>
                <w:szCs w:val="21"/>
                <w:highlight w:val="none"/>
              </w:rPr>
            </w:pPr>
            <w:r>
              <w:rPr>
                <w:rFonts w:hint="eastAsia" w:ascii="宋体" w:hAnsi="宋体" w:cs="宋体"/>
                <w:color w:val="auto"/>
                <w:highlight w:val="none"/>
              </w:rPr>
              <w:t>以上计算取小数点后两位。</w:t>
            </w:r>
          </w:p>
        </w:tc>
      </w:tr>
    </w:tbl>
    <w:p>
      <w:pPr>
        <w:pStyle w:val="4"/>
        <w:spacing w:before="0" w:after="0" w:line="360" w:lineRule="auto"/>
        <w:rPr>
          <w:rFonts w:ascii="宋体" w:hAnsi="宋体"/>
          <w:b w:val="0"/>
          <w:snapToGrid w:val="0"/>
          <w:color w:val="auto"/>
          <w:highlight w:val="none"/>
        </w:rPr>
      </w:pPr>
    </w:p>
    <w:p>
      <w:pPr>
        <w:pStyle w:val="4"/>
        <w:spacing w:before="0" w:after="0" w:line="360" w:lineRule="auto"/>
        <w:rPr>
          <w:rFonts w:ascii="宋体" w:hAnsi="宋体"/>
          <w:bCs w:val="0"/>
          <w:snapToGrid w:val="0"/>
          <w:color w:val="auto"/>
          <w:highlight w:val="none"/>
        </w:rPr>
      </w:pPr>
      <w:r>
        <w:rPr>
          <w:rFonts w:ascii="宋体" w:hAnsi="宋体"/>
          <w:b w:val="0"/>
          <w:snapToGrid w:val="0"/>
          <w:color w:val="auto"/>
          <w:highlight w:val="none"/>
        </w:rPr>
        <w:br w:type="page"/>
      </w:r>
      <w:bookmarkStart w:id="41" w:name="_Toc27750"/>
      <w:bookmarkStart w:id="42" w:name="_Toc57905886"/>
      <w:bookmarkStart w:id="43" w:name="_Toc67475638"/>
      <w:bookmarkStart w:id="44" w:name="_Toc2957"/>
      <w:bookmarkStart w:id="45" w:name="_Toc68115909"/>
      <w:r>
        <w:rPr>
          <w:rFonts w:ascii="宋体" w:hAnsi="宋体"/>
          <w:b w:val="0"/>
          <w:snapToGrid w:val="0"/>
          <w:color w:val="auto"/>
          <w:highlight w:val="none"/>
        </w:rPr>
        <w:t>1.  评标方法</w:t>
      </w:r>
      <w:bookmarkEnd w:id="41"/>
      <w:bookmarkEnd w:id="42"/>
    </w:p>
    <w:p>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w:t>
      </w:r>
      <w:r>
        <w:rPr>
          <w:rFonts w:hint="eastAsia" w:ascii="宋体" w:hAnsi="宋体"/>
          <w:color w:val="auto"/>
          <w:highlight w:val="none"/>
          <w:lang w:val="en-US" w:eastAsia="zh-CN"/>
        </w:rPr>
        <w:t>投标</w:t>
      </w:r>
      <w:r>
        <w:rPr>
          <w:rFonts w:hint="eastAsia" w:ascii="宋体" w:hAnsi="宋体"/>
          <w:color w:val="auto"/>
          <w:highlight w:val="none"/>
        </w:rPr>
        <w:t>价法，</w:t>
      </w:r>
      <w:r>
        <w:rPr>
          <w:rFonts w:hint="eastAsia" w:ascii="宋体" w:hAnsi="宋体"/>
          <w:color w:val="auto"/>
          <w:highlight w:val="none"/>
          <w:lang w:eastAsia="zh-CN"/>
        </w:rPr>
        <w:t>公开比选委员会</w:t>
      </w:r>
      <w:r>
        <w:rPr>
          <w:rFonts w:hint="eastAsia" w:ascii="宋体" w:hAnsi="宋体"/>
          <w:color w:val="auto"/>
          <w:highlight w:val="none"/>
        </w:rPr>
        <w:t>按照本章第</w:t>
      </w:r>
      <w:r>
        <w:rPr>
          <w:rFonts w:hint="eastAsia" w:ascii="宋体" w:hAnsi="宋体"/>
          <w:color w:val="auto"/>
          <w:highlight w:val="none"/>
          <w:lang w:val="en-US" w:eastAsia="zh-CN"/>
        </w:rPr>
        <w:t>3</w:t>
      </w:r>
      <w:r>
        <w:rPr>
          <w:rFonts w:hint="eastAsia" w:ascii="宋体" w:hAnsi="宋体"/>
          <w:color w:val="auto"/>
          <w:highlight w:val="none"/>
        </w:rPr>
        <w:t>.1款进行报价排序，按照本章第2.</w:t>
      </w:r>
      <w:r>
        <w:rPr>
          <w:rFonts w:hint="eastAsia" w:ascii="宋体" w:hAnsi="宋体"/>
          <w:color w:val="auto"/>
          <w:highlight w:val="none"/>
          <w:lang w:val="en-US" w:eastAsia="zh-CN"/>
        </w:rPr>
        <w:t>1.1-2.1.3</w:t>
      </w:r>
      <w:r>
        <w:rPr>
          <w:rFonts w:hint="eastAsia" w:ascii="宋体" w:hAnsi="宋体"/>
          <w:color w:val="auto"/>
          <w:highlight w:val="none"/>
        </w:rPr>
        <w:t>款进行符合性审查，符合性审查合格的</w:t>
      </w:r>
      <w:r>
        <w:rPr>
          <w:rFonts w:hint="eastAsia" w:ascii="宋体" w:hAnsi="宋体"/>
          <w:color w:val="auto"/>
          <w:highlight w:val="none"/>
          <w:lang w:eastAsia="zh-CN"/>
        </w:rPr>
        <w:t>参选</w:t>
      </w:r>
      <w:r>
        <w:rPr>
          <w:rFonts w:hint="eastAsia" w:ascii="宋体" w:hAnsi="宋体"/>
          <w:color w:val="auto"/>
          <w:highlight w:val="none"/>
        </w:rPr>
        <w:t>人中按报价</w:t>
      </w:r>
      <w:r>
        <w:rPr>
          <w:rFonts w:hint="eastAsia" w:ascii="宋体" w:hAnsi="宋体"/>
          <w:color w:val="auto"/>
          <w:highlight w:val="none"/>
          <w:lang w:val="en-US" w:eastAsia="zh-CN"/>
        </w:rPr>
        <w:t>得分</w:t>
      </w:r>
      <w:r>
        <w:rPr>
          <w:rFonts w:hint="eastAsia" w:ascii="宋体" w:hAnsi="宋体"/>
          <w:color w:val="auto"/>
          <w:highlight w:val="none"/>
        </w:rPr>
        <w:t>由</w:t>
      </w:r>
      <w:r>
        <w:rPr>
          <w:rFonts w:hint="eastAsia" w:ascii="宋体" w:hAnsi="宋体"/>
          <w:color w:val="auto"/>
          <w:highlight w:val="none"/>
          <w:lang w:val="en-US" w:eastAsia="zh-CN"/>
        </w:rPr>
        <w:t>高</w:t>
      </w:r>
      <w:r>
        <w:rPr>
          <w:rFonts w:hint="eastAsia" w:ascii="宋体" w:hAnsi="宋体"/>
          <w:color w:val="auto"/>
          <w:highlight w:val="none"/>
        </w:rPr>
        <w:t>到</w:t>
      </w:r>
      <w:r>
        <w:rPr>
          <w:rFonts w:hint="eastAsia" w:ascii="宋体" w:hAnsi="宋体"/>
          <w:color w:val="auto"/>
          <w:highlight w:val="none"/>
          <w:lang w:val="en-US" w:eastAsia="zh-CN"/>
        </w:rPr>
        <w:t>低</w:t>
      </w:r>
      <w:r>
        <w:rPr>
          <w:rFonts w:hint="eastAsia" w:ascii="宋体" w:hAnsi="宋体"/>
          <w:color w:val="auto"/>
          <w:highlight w:val="none"/>
        </w:rPr>
        <w:t>推荐</w:t>
      </w:r>
      <w:r>
        <w:rPr>
          <w:rFonts w:hint="eastAsia" w:ascii="宋体" w:hAnsi="宋体"/>
          <w:color w:val="auto"/>
          <w:highlight w:val="none"/>
          <w:lang w:eastAsia="zh-CN"/>
        </w:rPr>
        <w:t>中选</w:t>
      </w:r>
      <w:r>
        <w:rPr>
          <w:rFonts w:hint="eastAsia" w:ascii="宋体" w:hAnsi="宋体"/>
          <w:color w:val="auto"/>
          <w:highlight w:val="none"/>
        </w:rPr>
        <w:t>候选人。若出现</w:t>
      </w:r>
      <w:r>
        <w:rPr>
          <w:rFonts w:hint="eastAsia" w:ascii="宋体" w:hAnsi="宋体"/>
          <w:color w:val="auto"/>
          <w:highlight w:val="none"/>
          <w:lang w:eastAsia="zh-CN"/>
        </w:rPr>
        <w:t>参选</w:t>
      </w:r>
      <w:r>
        <w:rPr>
          <w:rFonts w:hint="eastAsia" w:ascii="宋体" w:hAnsi="宋体"/>
          <w:color w:val="auto"/>
          <w:highlight w:val="none"/>
        </w:rPr>
        <w:t>人</w:t>
      </w:r>
      <w:r>
        <w:rPr>
          <w:rFonts w:hint="eastAsia" w:ascii="宋体" w:hAnsi="宋体"/>
          <w:color w:val="auto"/>
          <w:highlight w:val="none"/>
          <w:lang w:eastAsia="zh-CN"/>
        </w:rPr>
        <w:t>参选</w:t>
      </w:r>
      <w:r>
        <w:rPr>
          <w:rFonts w:hint="eastAsia" w:ascii="宋体" w:hAnsi="宋体"/>
          <w:color w:val="auto"/>
          <w:highlight w:val="none"/>
        </w:rPr>
        <w:t>报价相同的，以评标办法前附表约定的原则确定排序。</w:t>
      </w:r>
    </w:p>
    <w:p>
      <w:pPr>
        <w:pStyle w:val="4"/>
        <w:spacing w:before="0" w:after="0" w:line="360" w:lineRule="auto"/>
        <w:rPr>
          <w:rFonts w:ascii="宋体" w:hAnsi="宋体"/>
          <w:b w:val="0"/>
          <w:snapToGrid w:val="0"/>
          <w:color w:val="auto"/>
          <w:highlight w:val="none"/>
        </w:rPr>
      </w:pPr>
      <w:bookmarkStart w:id="46" w:name="_Toc20502"/>
      <w:bookmarkStart w:id="47" w:name="_Toc57905887"/>
      <w:r>
        <w:rPr>
          <w:rFonts w:ascii="宋体" w:hAnsi="宋体"/>
          <w:b w:val="0"/>
          <w:snapToGrid w:val="0"/>
          <w:color w:val="auto"/>
          <w:highlight w:val="none"/>
        </w:rPr>
        <w:t>2.  评审标准</w:t>
      </w:r>
      <w:bookmarkEnd w:id="46"/>
      <w:bookmarkEnd w:id="47"/>
    </w:p>
    <w:p>
      <w:pPr>
        <w:pStyle w:val="5"/>
        <w:spacing w:before="0" w:after="0" w:line="360" w:lineRule="auto"/>
        <w:rPr>
          <w:rFonts w:ascii="宋体" w:hAnsi="宋体" w:cs="宋体"/>
          <w:color w:val="auto"/>
          <w:sz w:val="21"/>
          <w:szCs w:val="21"/>
          <w:highlight w:val="none"/>
        </w:rPr>
      </w:pPr>
      <w:bookmarkStart w:id="48" w:name="_Toc3739"/>
      <w:bookmarkStart w:id="49" w:name="_Toc57905888"/>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bookmarkEnd w:id="48"/>
      <w:r>
        <w:rPr>
          <w:rFonts w:hint="eastAsia" w:ascii="宋体" w:hAnsi="宋体" w:cs="宋体"/>
          <w:color w:val="auto"/>
          <w:sz w:val="21"/>
          <w:szCs w:val="21"/>
          <w:highlight w:val="none"/>
        </w:rPr>
        <w:t>标准</w:t>
      </w:r>
      <w:bookmarkEnd w:id="49"/>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pPr>
        <w:pStyle w:val="5"/>
        <w:spacing w:before="0" w:after="0" w:line="360" w:lineRule="auto"/>
        <w:rPr>
          <w:rFonts w:ascii="宋体" w:hAnsi="宋体" w:cs="宋体"/>
          <w:color w:val="auto"/>
          <w:sz w:val="21"/>
          <w:szCs w:val="21"/>
          <w:highlight w:val="none"/>
        </w:rPr>
      </w:pPr>
      <w:bookmarkStart w:id="50" w:name="_Toc16832"/>
      <w:bookmarkStart w:id="51" w:name="_Toc57905889"/>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50"/>
      <w:r>
        <w:rPr>
          <w:rFonts w:hint="eastAsia" w:ascii="宋体" w:hAnsi="宋体" w:cs="宋体"/>
          <w:color w:val="auto"/>
          <w:sz w:val="21"/>
          <w:szCs w:val="21"/>
          <w:highlight w:val="none"/>
        </w:rPr>
        <w:t>标准</w:t>
      </w:r>
      <w:bookmarkEnd w:id="51"/>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按评标办法前附表约定的</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单位报价排序数量进行符合性审查</w:t>
      </w:r>
      <w:r>
        <w:rPr>
          <w:rFonts w:hint="eastAsia" w:ascii="宋体" w:hAnsi="宋体"/>
          <w:color w:val="auto"/>
          <w:spacing w:val="4"/>
          <w:kern w:val="0"/>
          <w:szCs w:val="21"/>
          <w:highlight w:val="none"/>
        </w:rPr>
        <w:t>。符合性审查内容：资格评审、形式评审、响应性评审。</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技术方案评审标准：</w:t>
      </w:r>
      <w:r>
        <w:rPr>
          <w:rFonts w:hint="eastAsia" w:ascii="宋体" w:hAnsi="宋体" w:cs="宋体"/>
          <w:color w:val="auto"/>
          <w:szCs w:val="21"/>
          <w:highlight w:val="none"/>
          <w:lang w:val="en-US" w:eastAsia="zh-CN"/>
        </w:rPr>
        <w:t>无</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pStyle w:val="4"/>
        <w:spacing w:before="0" w:after="0" w:line="360" w:lineRule="auto"/>
        <w:rPr>
          <w:rFonts w:ascii="宋体" w:hAnsi="宋体"/>
          <w:b w:val="0"/>
          <w:snapToGrid w:val="0"/>
          <w:color w:val="auto"/>
          <w:highlight w:val="none"/>
        </w:rPr>
      </w:pPr>
      <w:bookmarkStart w:id="52" w:name="_Toc57905890"/>
      <w:bookmarkStart w:id="53" w:name="_Toc6630"/>
      <w:r>
        <w:rPr>
          <w:rFonts w:ascii="宋体" w:hAnsi="宋体"/>
          <w:b w:val="0"/>
          <w:snapToGrid w:val="0"/>
          <w:color w:val="auto"/>
          <w:highlight w:val="none"/>
        </w:rPr>
        <w:t>3.  评标程序</w:t>
      </w:r>
      <w:bookmarkEnd w:id="52"/>
      <w:bookmarkEnd w:id="53"/>
    </w:p>
    <w:p>
      <w:pPr>
        <w:pStyle w:val="5"/>
        <w:spacing w:before="0" w:after="0" w:line="360" w:lineRule="auto"/>
        <w:rPr>
          <w:rFonts w:ascii="宋体" w:hAnsi="宋体" w:cs="宋体"/>
          <w:color w:val="auto"/>
          <w:sz w:val="21"/>
          <w:szCs w:val="21"/>
          <w:highlight w:val="none"/>
        </w:rPr>
      </w:pPr>
      <w:bookmarkStart w:id="54" w:name="_Toc17317"/>
      <w:bookmarkStart w:id="55" w:name="_Toc57905891"/>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54"/>
      <w:bookmarkEnd w:id="55"/>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人的</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文件，按照报价</w:t>
      </w:r>
      <w:r>
        <w:rPr>
          <w:rFonts w:hint="eastAsia" w:ascii="宋体" w:hAnsi="宋体" w:cs="宋体"/>
          <w:color w:val="auto"/>
          <w:szCs w:val="21"/>
          <w:highlight w:val="none"/>
          <w:lang w:val="en-US" w:eastAsia="zh-CN"/>
        </w:rPr>
        <w:t>得分</w:t>
      </w:r>
      <w:r>
        <w:rPr>
          <w:rFonts w:hint="eastAsia" w:ascii="宋体" w:hAnsi="宋体" w:cs="宋体"/>
          <w:color w:val="auto"/>
          <w:szCs w:val="21"/>
          <w:highlight w:val="none"/>
        </w:rPr>
        <w:t>由</w:t>
      </w:r>
      <w:r>
        <w:rPr>
          <w:rFonts w:hint="eastAsia" w:ascii="宋体" w:hAnsi="宋体" w:cs="宋体"/>
          <w:color w:val="auto"/>
          <w:szCs w:val="21"/>
          <w:highlight w:val="none"/>
          <w:lang w:val="en-US" w:eastAsia="zh-CN"/>
        </w:rPr>
        <w:t>高</w:t>
      </w:r>
      <w:r>
        <w:rPr>
          <w:rFonts w:hint="eastAsia" w:ascii="宋体" w:hAnsi="宋体" w:cs="宋体"/>
          <w:color w:val="auto"/>
          <w:szCs w:val="21"/>
          <w:highlight w:val="none"/>
        </w:rPr>
        <w:t>到</w:t>
      </w:r>
      <w:r>
        <w:rPr>
          <w:rFonts w:hint="eastAsia" w:ascii="宋体" w:hAnsi="宋体" w:cs="宋体"/>
          <w:color w:val="auto"/>
          <w:szCs w:val="21"/>
          <w:highlight w:val="none"/>
          <w:lang w:val="en-US" w:eastAsia="zh-CN"/>
        </w:rPr>
        <w:t>低</w:t>
      </w:r>
      <w:r>
        <w:rPr>
          <w:rFonts w:hint="eastAsia" w:ascii="宋体" w:hAnsi="宋体" w:cs="宋体"/>
          <w:color w:val="auto"/>
          <w:szCs w:val="21"/>
          <w:highlight w:val="none"/>
        </w:rPr>
        <w:t>的顺序</w:t>
      </w:r>
      <w:r>
        <w:rPr>
          <w:rFonts w:hint="eastAsia" w:ascii="宋体" w:hAnsi="宋体" w:cs="宋体"/>
          <w:color w:val="auto"/>
          <w:szCs w:val="21"/>
          <w:highlight w:val="none"/>
          <w:lang w:val="en-US" w:eastAsia="zh-CN"/>
        </w:rPr>
        <w:t>依次</w:t>
      </w:r>
      <w:r>
        <w:rPr>
          <w:rFonts w:hint="eastAsia" w:ascii="宋体" w:hAnsi="宋体" w:cs="宋体"/>
          <w:color w:val="auto"/>
          <w:szCs w:val="21"/>
          <w:highlight w:val="none"/>
        </w:rPr>
        <w:t>排序。</w:t>
      </w:r>
    </w:p>
    <w:p>
      <w:pPr>
        <w:pStyle w:val="5"/>
        <w:spacing w:before="0" w:after="0" w:line="360" w:lineRule="auto"/>
        <w:rPr>
          <w:rFonts w:ascii="宋体" w:hAnsi="宋体" w:cs="宋体"/>
          <w:color w:val="auto"/>
          <w:sz w:val="21"/>
          <w:szCs w:val="21"/>
          <w:highlight w:val="none"/>
        </w:rPr>
      </w:pPr>
      <w:bookmarkStart w:id="56" w:name="_Toc23300"/>
      <w:bookmarkStart w:id="57" w:name="_Toc57905892"/>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56"/>
      <w:bookmarkEnd w:id="57"/>
    </w:p>
    <w:p>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lang w:eastAsia="zh-CN"/>
        </w:rPr>
        <w:t>公开比选委员会</w:t>
      </w:r>
      <w:r>
        <w:rPr>
          <w:rFonts w:ascii="宋体" w:hAnsi="宋体" w:cs="宋体"/>
          <w:color w:val="auto"/>
          <w:szCs w:val="21"/>
          <w:highlight w:val="none"/>
        </w:rPr>
        <w:t>依据本章第</w:t>
      </w:r>
      <w:r>
        <w:rPr>
          <w:rFonts w:hint="eastAsia" w:ascii="宋体" w:hAnsi="宋体" w:cs="宋体"/>
          <w:color w:val="auto"/>
          <w:szCs w:val="21"/>
          <w:highlight w:val="none"/>
          <w:lang w:val="en-US" w:eastAsia="zh-CN"/>
        </w:rPr>
        <w:t>2.1.1-2.13</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文件进行符合性审查。符合性审查顺序：资格评审、形式评审、响应性评审。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有一项不符合评审标准的，作否决</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lang w:eastAsia="zh-CN"/>
        </w:rPr>
        <w:t>参选</w:t>
      </w:r>
      <w:r>
        <w:rPr>
          <w:rFonts w:ascii="宋体" w:hAnsi="宋体" w:cs="宋体"/>
          <w:color w:val="auto"/>
          <w:szCs w:val="21"/>
          <w:highlight w:val="none"/>
        </w:rPr>
        <w:t>人有以下情形之一的，</w:t>
      </w:r>
      <w:r>
        <w:rPr>
          <w:rFonts w:hint="eastAsia" w:ascii="宋体" w:hAnsi="宋体" w:cs="宋体"/>
          <w:color w:val="auto"/>
          <w:szCs w:val="21"/>
          <w:highlight w:val="none"/>
        </w:rPr>
        <w:t>其</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文件将被否决：</w:t>
      </w:r>
    </w:p>
    <w:p>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）第二章“</w:t>
      </w:r>
      <w:r>
        <w:rPr>
          <w:rFonts w:hint="eastAsia" w:ascii="宋体" w:hAnsi="宋体" w:cs="宋体"/>
          <w:color w:val="auto"/>
          <w:szCs w:val="21"/>
          <w:highlight w:val="none"/>
          <w:lang w:eastAsia="zh-CN"/>
        </w:rPr>
        <w:t>参选</w:t>
      </w:r>
      <w:r>
        <w:rPr>
          <w:rFonts w:ascii="宋体" w:hAnsi="宋体" w:cs="宋体"/>
          <w:color w:val="auto"/>
          <w:szCs w:val="21"/>
          <w:highlight w:val="none"/>
        </w:rPr>
        <w:t xml:space="preserve">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有串通</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、弄虚作假等其他违反招</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相关法律、法规行为的；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（3）拒绝按</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要求澄清、说明或补正的。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报价有算术错误的，</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按以下原则对</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报价进行修正，修正的价格经</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人书面确认后具有约束力，修正原则如下：</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文件中的大写金额与小写金额不一致的，以大写金额为准；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函中的总报价与已标价工程量清单总报价不一致的，由</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作否决</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处理。</w:t>
      </w:r>
    </w:p>
    <w:p>
      <w:pPr>
        <w:pStyle w:val="5"/>
        <w:spacing w:before="0" w:after="0" w:line="360" w:lineRule="auto"/>
        <w:rPr>
          <w:rFonts w:ascii="宋体" w:hAnsi="宋体" w:cs="宋体"/>
          <w:color w:val="auto"/>
          <w:sz w:val="21"/>
          <w:szCs w:val="21"/>
          <w:highlight w:val="none"/>
        </w:rPr>
      </w:pPr>
      <w:bookmarkStart w:id="58" w:name="_Toc57905893"/>
      <w:bookmarkStart w:id="59" w:name="_Toc5505"/>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参选</w:t>
      </w:r>
      <w:r>
        <w:rPr>
          <w:rFonts w:hint="eastAsia" w:ascii="宋体" w:hAnsi="宋体" w:cs="宋体"/>
          <w:color w:val="auto"/>
          <w:sz w:val="21"/>
          <w:szCs w:val="21"/>
          <w:highlight w:val="none"/>
        </w:rPr>
        <w:t>文件的澄清和补正</w:t>
      </w:r>
      <w:bookmarkEnd w:id="58"/>
      <w:bookmarkEnd w:id="59"/>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可以书面形式要求</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人对所提交</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文件中不明确的内容进行书面澄清或说明，或者对细微偏差进行补正。</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不接受</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文件的实质性内容（算术性错误修正的除外）。</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人的书面澄清、说明和补正属于</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文件的组成部分。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对</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人提交的澄清、说明或补正有疑问的，可以要求</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人进一步澄清、说明或补正，直至满足</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的要求。</w:t>
      </w:r>
    </w:p>
    <w:p>
      <w:pPr>
        <w:pStyle w:val="5"/>
        <w:spacing w:before="0" w:after="0" w:line="360" w:lineRule="auto"/>
        <w:rPr>
          <w:rFonts w:ascii="宋体" w:hAnsi="宋体" w:cs="宋体"/>
          <w:color w:val="auto"/>
          <w:sz w:val="21"/>
          <w:szCs w:val="21"/>
          <w:highlight w:val="none"/>
        </w:rPr>
      </w:pPr>
      <w:bookmarkStart w:id="60" w:name="_Toc484465184"/>
      <w:bookmarkStart w:id="61" w:name="_Toc26860"/>
      <w:bookmarkStart w:id="62" w:name="_Toc479262406"/>
      <w:bookmarkStart w:id="63" w:name="_Toc57905894"/>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60"/>
      <w:bookmarkEnd w:id="61"/>
      <w:bookmarkEnd w:id="62"/>
      <w:bookmarkEnd w:id="63"/>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w:t>
      </w:r>
      <w:r>
        <w:rPr>
          <w:rFonts w:hint="eastAsia" w:ascii="宋体" w:hAnsi="宋体" w:cs="宋体"/>
          <w:color w:val="auto"/>
          <w:szCs w:val="21"/>
          <w:highlight w:val="none"/>
          <w:lang w:eastAsia="zh-CN"/>
        </w:rPr>
        <w:t>参选</w:t>
      </w:r>
      <w:r>
        <w:rPr>
          <w:rFonts w:hint="eastAsia" w:ascii="宋体" w:hAnsi="宋体" w:cs="宋体"/>
          <w:color w:val="auto"/>
          <w:szCs w:val="21"/>
          <w:highlight w:val="none"/>
        </w:rPr>
        <w:t>人须知”前附表授权直接确定</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人外，</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按经评审的最低</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价法推荐</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w:t>
      </w:r>
    </w:p>
    <w:p>
      <w:pPr>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公开比选委员会</w:t>
      </w:r>
      <w:r>
        <w:rPr>
          <w:rFonts w:hint="eastAsia" w:ascii="宋体" w:hAnsi="宋体" w:cs="宋体"/>
          <w:color w:val="auto"/>
          <w:szCs w:val="21"/>
          <w:highlight w:val="none"/>
        </w:rPr>
        <w:t>完成评标后，应当向</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人提交书面评标报告</w:t>
      </w:r>
      <w:r>
        <w:rPr>
          <w:rFonts w:hint="eastAsia" w:ascii="宋体" w:hAnsi="宋体" w:cs="宋体"/>
          <w:color w:val="auto"/>
          <w:szCs w:val="21"/>
          <w:highlight w:val="none"/>
          <w:lang w:val="en-US" w:eastAsia="zh-CN"/>
        </w:rPr>
        <w:t>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候选人名单。</w:t>
      </w:r>
    </w:p>
    <w:bookmarkEnd w:id="40"/>
    <w:bookmarkEnd w:id="43"/>
    <w:bookmarkEnd w:id="44"/>
    <w:bookmarkEnd w:id="45"/>
    <w:p>
      <w:pPr>
        <w:autoSpaceDE w:val="0"/>
        <w:autoSpaceDN w:val="0"/>
        <w:adjustRightInd w:val="0"/>
        <w:snapToGrid w:val="0"/>
        <w:spacing w:line="360" w:lineRule="auto"/>
        <w:ind w:firstLine="420" w:firstLineChars="200"/>
        <w:rPr>
          <w:rFonts w:ascii="宋体" w:hAnsi="宋体"/>
          <w:color w:val="auto"/>
          <w:kern w:val="0"/>
          <w:szCs w:val="21"/>
          <w:highlight w:val="none"/>
        </w:rPr>
      </w:pPr>
    </w:p>
    <w:p>
      <w:pPr>
        <w:pStyle w:val="50"/>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rPr>
          <w:color w:val="auto"/>
          <w:highlight w:val="none"/>
        </w:rPr>
      </w:pPr>
    </w:p>
    <w:p>
      <w:pPr>
        <w:pStyle w:val="50"/>
        <w:rPr>
          <w:color w:val="auto"/>
          <w:highlight w:val="none"/>
        </w:rPr>
      </w:pPr>
    </w:p>
    <w:p>
      <w:pPr>
        <w:rPr>
          <w:color w:val="auto"/>
          <w:highlight w:val="none"/>
        </w:rPr>
      </w:pPr>
    </w:p>
    <w:p>
      <w:pPr>
        <w:pStyle w:val="50"/>
        <w:rPr>
          <w:color w:val="auto"/>
          <w:highlight w:val="none"/>
        </w:rPr>
      </w:pPr>
    </w:p>
    <w:p>
      <w:pPr>
        <w:rPr>
          <w:color w:val="auto"/>
          <w:highlight w:val="none"/>
        </w:rPr>
      </w:pPr>
    </w:p>
    <w:p>
      <w:pPr>
        <w:pStyle w:val="50"/>
        <w:rPr>
          <w:color w:val="auto"/>
          <w:highlight w:val="none"/>
        </w:rPr>
      </w:pPr>
    </w:p>
    <w:p>
      <w:pPr>
        <w:rPr>
          <w:color w:val="auto"/>
          <w:highlight w:val="none"/>
        </w:rPr>
      </w:pPr>
    </w:p>
    <w:p>
      <w:pPr>
        <w:pStyle w:val="50"/>
        <w:rPr>
          <w:color w:val="auto"/>
          <w:highlight w:val="none"/>
        </w:rPr>
      </w:pPr>
    </w:p>
    <w:p/>
    <w:p>
      <w:pPr>
        <w:pStyle w:val="39"/>
        <w:spacing w:line="360" w:lineRule="auto"/>
        <w:rPr>
          <w:rFonts w:ascii="宋体" w:hAnsi="宋体"/>
          <w:b/>
          <w:color w:val="auto"/>
          <w:sz w:val="28"/>
          <w:szCs w:val="28"/>
          <w:highlight w:val="none"/>
          <w:u w:val="none"/>
          <w:lang w:eastAsia="zh-CN"/>
        </w:rPr>
      </w:pPr>
      <w:bookmarkStart w:id="64" w:name="_Toc230410480"/>
      <w:bookmarkStart w:id="65" w:name="_Toc277082627"/>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w:t>
      </w:r>
      <w:r>
        <w:rPr>
          <w:rFonts w:hint="eastAsia" w:ascii="宋体" w:hAnsi="宋体"/>
          <w:b/>
          <w:color w:val="auto"/>
          <w:sz w:val="28"/>
          <w:szCs w:val="28"/>
          <w:highlight w:val="none"/>
          <w:u w:val="none"/>
          <w:lang w:val="en-US" w:eastAsia="zh-CN"/>
        </w:rPr>
        <w:t>投标</w:t>
      </w:r>
      <w:r>
        <w:rPr>
          <w:rFonts w:hint="eastAsia" w:ascii="宋体" w:hAnsi="宋体"/>
          <w:b/>
          <w:color w:val="auto"/>
          <w:sz w:val="28"/>
          <w:szCs w:val="28"/>
          <w:highlight w:val="none"/>
          <w:u w:val="none"/>
          <w:lang w:eastAsia="zh-CN"/>
        </w:rPr>
        <w:t>价法</w:t>
      </w:r>
      <w:r>
        <w:rPr>
          <w:rFonts w:ascii="宋体" w:hAnsi="宋体"/>
          <w:b/>
          <w:color w:val="auto"/>
          <w:sz w:val="28"/>
          <w:szCs w:val="28"/>
          <w:highlight w:val="none"/>
          <w:u w:val="none"/>
          <w:lang w:eastAsia="zh-CN"/>
        </w:rPr>
        <w:t>否决参选情况一览表</w:t>
      </w:r>
      <w:bookmarkEnd w:id="64"/>
    </w:p>
    <w:bookmarkEnd w:id="65"/>
    <w:p>
      <w:pPr>
        <w:pStyle w:val="39"/>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参选文件存在本一览表下列情形之一的，参选文件视为重大偏差并作否决参选处理，否则，公开比选委员会不得视为重大偏差而否决参选人的参选文件</w:t>
      </w:r>
      <w:r>
        <w:rPr>
          <w:rFonts w:ascii="宋体" w:hAnsi="宋体"/>
          <w:color w:val="auto"/>
          <w:sz w:val="21"/>
          <w:szCs w:val="21"/>
          <w:highlight w:val="none"/>
          <w:u w:val="none"/>
          <w:lang w:eastAsia="zh-CN"/>
        </w:rPr>
        <w:t>。</w:t>
      </w:r>
    </w:p>
    <w:tbl>
      <w:tblPr>
        <w:tblStyle w:val="5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noWrap w:val="0"/>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否决参选条件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noWrap w:val="0"/>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899" w:type="dxa"/>
            <w:noWrap w:val="0"/>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参选人资质条件、能力和信誉须满足参选人须知</w:t>
            </w:r>
            <w:r>
              <w:rPr>
                <w:rFonts w:hint="eastAsia" w:ascii="宋体" w:hAnsi="宋体"/>
                <w:color w:val="auto"/>
                <w:szCs w:val="21"/>
                <w:highlight w:val="none"/>
                <w:lang w:val="en-US" w:eastAsia="zh-CN"/>
              </w:rPr>
              <w:t>第10</w:t>
            </w:r>
            <w:r>
              <w:rPr>
                <w:rFonts w:hint="eastAsia" w:ascii="宋体" w:hAnsi="宋体"/>
                <w:color w:val="auto"/>
                <w:szCs w:val="21"/>
                <w:highlight w:val="none"/>
              </w:rPr>
              <w:t>项的要求，否则由公开比选委员会作否决参选处理。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restart"/>
            <w:noWrap w:val="0"/>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参选人名称必须与营业执照、资质证书一致，依法变更名称的应提交相应证明材料，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由公开比选委员会</w:t>
            </w:r>
            <w:r>
              <w:rPr>
                <w:rFonts w:ascii="宋体" w:hAnsi="宋体"/>
                <w:color w:val="auto"/>
                <w:szCs w:val="21"/>
                <w:highlight w:val="none"/>
              </w:rPr>
              <w:t>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参选函格式规定签字、盖章的位置有法定代表人或其委托代理人签字（或盖章）、加盖单位公章，否则由公开比选委员会作否决参选处理。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参选文件格式符合第二章“参选人须知”第</w:t>
            </w:r>
            <w:r>
              <w:rPr>
                <w:rFonts w:hint="eastAsia" w:ascii="宋体" w:hAnsi="宋体"/>
                <w:color w:val="auto"/>
                <w:szCs w:val="21"/>
                <w:highlight w:val="none"/>
                <w:lang w:val="en-US" w:eastAsia="zh-CN"/>
              </w:rPr>
              <w:t>21项</w:t>
            </w:r>
            <w:r>
              <w:rPr>
                <w:rFonts w:hint="eastAsia" w:ascii="宋体" w:hAnsi="宋体"/>
                <w:color w:val="auto"/>
                <w:szCs w:val="21"/>
                <w:highlight w:val="none"/>
              </w:rPr>
              <w:t>的要求，否则由公开比选委员会作否决参选处理。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编制参选文件时不得对第六章“参选文件格式”的相应要素作实质性修改，否则由公开比选委员会作否决参选处理。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top"/>
          </w:tcPr>
          <w:p>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参选文件份数符合第二章“参选人须知”第</w:t>
            </w:r>
            <w:r>
              <w:rPr>
                <w:rFonts w:hint="eastAsia" w:ascii="宋体" w:hAnsi="宋体"/>
                <w:color w:val="auto"/>
                <w:szCs w:val="21"/>
                <w:highlight w:val="none"/>
                <w:lang w:val="en-US" w:eastAsia="zh-CN"/>
              </w:rPr>
              <w:t>22</w:t>
            </w:r>
            <w:r>
              <w:rPr>
                <w:rFonts w:hint="eastAsia" w:ascii="宋体" w:hAnsi="宋体"/>
                <w:color w:val="auto"/>
                <w:szCs w:val="21"/>
                <w:highlight w:val="none"/>
              </w:rPr>
              <w:t>项的规定，</w:t>
            </w:r>
            <w:r>
              <w:rPr>
                <w:rFonts w:hint="eastAsia" w:ascii="宋体" w:hAnsi="宋体"/>
                <w:color w:val="auto"/>
                <w:kern w:val="0"/>
                <w:szCs w:val="21"/>
                <w:highlight w:val="none"/>
              </w:rPr>
              <w:t>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只能有一个有效报价。在比选文件没有规定的情况下，不得提交选择性报价，否则由公开比选委员会作否决参选处理。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top"/>
          </w:tcPr>
          <w:p>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第六章 参选文件格式要求法定代表人或其委托代理人签字（或盖章）的须齐全。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restart"/>
            <w:noWrap w:val="0"/>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参选报价不得高于比选人公布的参选报价最高限价，否则由公开比选委员会作否决参选处理。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参选内容符合第二章“参选人须知”第</w:t>
            </w:r>
            <w:r>
              <w:rPr>
                <w:rFonts w:hint="eastAsia" w:ascii="宋体" w:hAnsi="宋体"/>
                <w:color w:val="auto"/>
                <w:szCs w:val="21"/>
                <w:highlight w:val="none"/>
                <w:lang w:val="en-US" w:eastAsia="zh-CN"/>
              </w:rPr>
              <w:t>7</w:t>
            </w:r>
            <w:r>
              <w:rPr>
                <w:rFonts w:hint="eastAsia" w:ascii="宋体" w:hAnsi="宋体"/>
                <w:color w:val="auto"/>
                <w:szCs w:val="21"/>
                <w:highlight w:val="none"/>
              </w:rPr>
              <w:t>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工期符合第二章“参选人须知”第</w:t>
            </w:r>
            <w:r>
              <w:rPr>
                <w:rFonts w:hint="eastAsia" w:ascii="宋体" w:hAnsi="宋体"/>
                <w:color w:val="auto"/>
                <w:szCs w:val="21"/>
                <w:highlight w:val="none"/>
                <w:lang w:val="en-US" w:eastAsia="zh-CN"/>
              </w:rPr>
              <w:t>8</w:t>
            </w:r>
            <w:r>
              <w:rPr>
                <w:rFonts w:hint="eastAsia" w:ascii="宋体" w:hAnsi="宋体"/>
                <w:color w:val="auto"/>
                <w:szCs w:val="21"/>
                <w:highlight w:val="none"/>
              </w:rPr>
              <w:t>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工程质量符合第二章“参选人须知”第</w:t>
            </w:r>
            <w:r>
              <w:rPr>
                <w:rFonts w:hint="eastAsia" w:ascii="宋体" w:hAnsi="宋体"/>
                <w:color w:val="auto"/>
                <w:szCs w:val="21"/>
                <w:highlight w:val="none"/>
                <w:lang w:val="en-US" w:eastAsia="zh-CN"/>
              </w:rPr>
              <w:t>9</w:t>
            </w:r>
            <w:r>
              <w:rPr>
                <w:rFonts w:hint="eastAsia" w:ascii="宋体" w:hAnsi="宋体"/>
                <w:color w:val="auto"/>
                <w:szCs w:val="21"/>
                <w:highlight w:val="none"/>
              </w:rPr>
              <w:t>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参选有效期符合第二章“参选人须知”第</w:t>
            </w:r>
            <w:r>
              <w:rPr>
                <w:rFonts w:hint="eastAsia" w:ascii="宋体" w:hAnsi="宋体"/>
                <w:color w:val="auto"/>
                <w:szCs w:val="21"/>
                <w:highlight w:val="none"/>
                <w:lang w:val="en-US" w:eastAsia="zh-CN"/>
              </w:rPr>
              <w:t>19</w:t>
            </w:r>
            <w:r>
              <w:rPr>
                <w:rFonts w:hint="eastAsia" w:ascii="宋体" w:hAnsi="宋体"/>
                <w:color w:val="auto"/>
                <w:szCs w:val="21"/>
                <w:highlight w:val="none"/>
              </w:rPr>
              <w:t>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符合第四章“合同主要条款”规定，参选文件不应附有比选人不能接受的条件，否则由公开比选委员会作否决参选处理。（由参选人承诺，承诺书格式自拟。）</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参选报价有算术错误的，按照第三章“评标办法”第3.</w:t>
            </w:r>
            <w:r>
              <w:rPr>
                <w:rFonts w:hint="eastAsia" w:ascii="宋体" w:hAnsi="宋体"/>
                <w:color w:val="auto"/>
                <w:szCs w:val="21"/>
                <w:highlight w:val="none"/>
                <w:lang w:val="en-US" w:eastAsia="zh-CN"/>
              </w:rPr>
              <w:t>2</w:t>
            </w:r>
            <w:r>
              <w:rPr>
                <w:rFonts w:hint="eastAsia" w:ascii="宋体" w:hAnsi="宋体"/>
                <w:color w:val="auto"/>
                <w:szCs w:val="21"/>
                <w:highlight w:val="none"/>
              </w:rPr>
              <w:t>.3项规定执行，否则由公开比选委员会作否决参选处理</w:t>
            </w:r>
            <w:r>
              <w:rPr>
                <w:rFonts w:ascii="宋体" w:hAnsi="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pPr>
              <w:spacing w:line="400" w:lineRule="exact"/>
              <w:jc w:val="center"/>
              <w:rPr>
                <w:rFonts w:ascii="宋体" w:hAnsi="宋体"/>
                <w:color w:val="auto"/>
                <w:szCs w:val="21"/>
                <w:highlight w:val="none"/>
              </w:rPr>
            </w:pPr>
          </w:p>
        </w:tc>
        <w:tc>
          <w:tcPr>
            <w:tcW w:w="1899" w:type="dxa"/>
            <w:vMerge w:val="continue"/>
            <w:noWrap w:val="0"/>
            <w:vAlign w:val="center"/>
          </w:tcPr>
          <w:p>
            <w:pPr>
              <w:spacing w:line="400" w:lineRule="exact"/>
              <w:jc w:val="center"/>
              <w:rPr>
                <w:rFonts w:ascii="宋体" w:hAnsi="宋体"/>
                <w:color w:val="auto"/>
                <w:szCs w:val="21"/>
                <w:highlight w:val="none"/>
              </w:rPr>
            </w:pPr>
          </w:p>
        </w:tc>
        <w:tc>
          <w:tcPr>
            <w:tcW w:w="6333" w:type="dxa"/>
            <w:noWrap w:val="0"/>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参选人有以下情形之一的，其参选文件由公开比选委员会</w:t>
            </w:r>
            <w:r>
              <w:rPr>
                <w:rFonts w:ascii="宋体" w:hAnsi="宋体"/>
                <w:color w:val="auto"/>
                <w:szCs w:val="21"/>
                <w:highlight w:val="none"/>
              </w:rPr>
              <w:t>作否决参选处理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1.第二章“参选人须知”第</w:t>
            </w:r>
            <w:r>
              <w:rPr>
                <w:rFonts w:hint="eastAsia" w:ascii="宋体" w:hAnsi="宋体"/>
                <w:color w:val="auto"/>
                <w:szCs w:val="21"/>
                <w:highlight w:val="none"/>
                <w:lang w:val="en-US" w:eastAsia="zh-CN"/>
              </w:rPr>
              <w:t>34</w:t>
            </w:r>
            <w:r>
              <w:rPr>
                <w:rFonts w:hint="eastAsia" w:ascii="宋体" w:hAnsi="宋体"/>
                <w:color w:val="auto"/>
                <w:szCs w:val="21"/>
                <w:highlight w:val="none"/>
              </w:rPr>
              <w:t>项规定的任何一种情形的；</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.本次参选有串通参选、弄虚作假等违反招参选相关法律、法规的行为的；</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.拒绝按公开比选委员会要求澄清、说明或补正的。</w:t>
            </w:r>
          </w:p>
        </w:tc>
      </w:tr>
    </w:tbl>
    <w:p>
      <w:pPr>
        <w:pStyle w:val="21"/>
        <w:jc w:val="center"/>
        <w:rPr>
          <w:rFonts w:hint="eastAsia"/>
          <w:color w:val="auto"/>
          <w:highlight w:val="none"/>
        </w:rPr>
      </w:pPr>
    </w:p>
    <w:p>
      <w:pPr>
        <w:pStyle w:val="3"/>
        <w:numPr>
          <w:ilvl w:val="0"/>
          <w:numId w:val="0"/>
        </w:numPr>
        <w:bidi w:val="0"/>
        <w:ind w:firstLine="2200" w:firstLineChars="500"/>
        <w:jc w:val="left"/>
        <w:rPr>
          <w:rFonts w:hint="eastAsia"/>
          <w:color w:val="auto"/>
          <w:highlight w:val="none"/>
          <w:lang w:val="en-US" w:eastAsia="zh-CN"/>
        </w:rPr>
      </w:pPr>
      <w:bookmarkStart w:id="66" w:name="_Toc20492"/>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lang w:val="en-US" w:eastAsia="zh-CN"/>
        </w:rPr>
      </w:pPr>
    </w:p>
    <w:p>
      <w:pPr>
        <w:pStyle w:val="3"/>
        <w:numPr>
          <w:ilvl w:val="0"/>
          <w:numId w:val="0"/>
        </w:numPr>
        <w:bidi w:val="0"/>
        <w:ind w:firstLine="2200" w:firstLineChars="500"/>
        <w:jc w:val="left"/>
        <w:rPr>
          <w:rFonts w:hint="eastAsia"/>
          <w:color w:val="auto"/>
          <w:highlight w:val="none"/>
        </w:rPr>
      </w:pPr>
      <w:r>
        <w:rPr>
          <w:rFonts w:hint="eastAsia"/>
          <w:color w:val="auto"/>
          <w:highlight w:val="none"/>
          <w:lang w:val="en-US" w:eastAsia="zh-CN"/>
        </w:rPr>
        <w:t xml:space="preserve">第四章  </w:t>
      </w:r>
      <w:r>
        <w:rPr>
          <w:rFonts w:hint="eastAsia"/>
          <w:color w:val="auto"/>
          <w:highlight w:val="none"/>
        </w:rPr>
        <w:t>合同条款及格式</w:t>
      </w:r>
      <w:bookmarkEnd w:id="66"/>
    </w:p>
    <w:p>
      <w:pPr>
        <w:pStyle w:val="21"/>
        <w:rPr>
          <w:rFonts w:hint="eastAsia"/>
          <w:b/>
          <w:bCs/>
          <w:color w:val="auto"/>
          <w:sz w:val="48"/>
          <w:szCs w:val="48"/>
          <w:highlight w:val="none"/>
          <w:lang w:val="en-US" w:eastAsia="zh-CN"/>
        </w:rPr>
      </w:pPr>
      <w:r>
        <w:rPr>
          <w:rFonts w:ascii="宋体" w:hAnsi="宋体" w:cs="宋体"/>
          <w:b/>
          <w:color w:val="auto"/>
          <w:sz w:val="30"/>
          <w:highlight w:val="none"/>
        </w:rPr>
        <w:br w:type="page"/>
      </w:r>
    </w:p>
    <w:p>
      <w:pPr>
        <w:spacing w:line="360" w:lineRule="auto"/>
        <w:jc w:val="center"/>
        <w:rPr>
          <w:rFonts w:hint="eastAsia" w:ascii="方正小标宋_GBK" w:hAnsi="方正小标宋简体" w:eastAsia="方正小标宋_GBK" w:cs="方正小标宋简体"/>
          <w:bCs/>
          <w:sz w:val="40"/>
          <w:szCs w:val="40"/>
          <w:lang w:eastAsia="zh-CN"/>
        </w:rPr>
      </w:pPr>
      <w:r>
        <w:rPr>
          <w:rFonts w:hint="eastAsia" w:ascii="方正小标宋_GBK" w:hAnsi="方正小标宋简体" w:eastAsia="方正小标宋_GBK" w:cs="方正小标宋简体"/>
          <w:bCs/>
          <w:sz w:val="40"/>
          <w:szCs w:val="40"/>
          <w:lang w:eastAsia="zh-CN"/>
        </w:rPr>
        <w:t>重庆国际光影文化旅游季-重庆市儿童公园光影</w:t>
      </w:r>
    </w:p>
    <w:p>
      <w:pPr>
        <w:spacing w:line="360" w:lineRule="auto"/>
        <w:jc w:val="center"/>
        <w:rPr>
          <w:rFonts w:ascii="方正小标宋_GBK" w:hAnsi="方正小标宋简体" w:eastAsia="方正小标宋_GBK" w:cs="方正小标宋简体"/>
          <w:bCs/>
          <w:sz w:val="40"/>
          <w:szCs w:val="40"/>
        </w:rPr>
      </w:pPr>
      <w:r>
        <w:rPr>
          <w:rFonts w:hint="eastAsia" w:ascii="方正小标宋_GBK" w:hAnsi="方正小标宋简体" w:eastAsia="方正小标宋_GBK" w:cs="方正小标宋简体"/>
          <w:bCs/>
          <w:sz w:val="40"/>
          <w:szCs w:val="40"/>
          <w:lang w:eastAsia="zh-CN"/>
        </w:rPr>
        <w:t>艺术邀请展</w:t>
      </w:r>
      <w:r>
        <w:rPr>
          <w:rFonts w:hint="eastAsia" w:ascii="方正小标宋_GBK" w:hAnsi="方正小标宋简体" w:eastAsia="方正小标宋_GBK" w:cs="方正小标宋简体"/>
          <w:bCs/>
          <w:sz w:val="40"/>
          <w:szCs w:val="40"/>
        </w:rPr>
        <w:t>执行合同</w:t>
      </w:r>
    </w:p>
    <w:p>
      <w:pPr>
        <w:spacing w:line="360" w:lineRule="auto"/>
        <w:jc w:val="center"/>
        <w:rPr>
          <w:rFonts w:ascii="宋体" w:hAnsi="宋体"/>
          <w:b/>
          <w:szCs w:val="21"/>
        </w:rPr>
      </w:pPr>
    </w:p>
    <w:p>
      <w:pPr>
        <w:spacing w:line="360" w:lineRule="auto"/>
        <w:rPr>
          <w:color w:val="000000"/>
          <w:szCs w:val="21"/>
        </w:rPr>
      </w:pPr>
      <w:r>
        <w:rPr>
          <w:rFonts w:hint="eastAsia"/>
          <w:color w:val="000000"/>
          <w:szCs w:val="21"/>
        </w:rPr>
        <w:t>甲  方：</w:t>
      </w:r>
      <w:r>
        <w:rPr>
          <w:rFonts w:hint="eastAsia"/>
          <w:color w:val="000000"/>
          <w:szCs w:val="21"/>
          <w:u w:val="single"/>
        </w:rPr>
        <w:t>重庆山水城文化旅游发展有限公司</w:t>
      </w:r>
      <w:r>
        <w:rPr>
          <w:rFonts w:hint="eastAsia"/>
          <w:szCs w:val="21"/>
          <w:u w:val="single"/>
        </w:rPr>
        <w:t xml:space="preserve">     </w:t>
      </w:r>
      <w:r>
        <w:rPr>
          <w:rFonts w:hint="eastAsia"/>
          <w:color w:val="000000"/>
          <w:szCs w:val="21"/>
          <w:u w:val="single"/>
        </w:rPr>
        <w:t xml:space="preserve">     </w:t>
      </w:r>
      <w:r>
        <w:rPr>
          <w:rFonts w:hint="eastAsia"/>
          <w:color w:val="000000"/>
          <w:szCs w:val="21"/>
        </w:rPr>
        <w:t xml:space="preserve">（以下简称甲方） </w:t>
      </w:r>
    </w:p>
    <w:p>
      <w:pPr>
        <w:spacing w:line="360" w:lineRule="auto"/>
        <w:rPr>
          <w:b/>
          <w:szCs w:val="21"/>
        </w:rPr>
      </w:pPr>
      <w:r>
        <w:rPr>
          <w:rFonts w:hint="eastAsia"/>
          <w:szCs w:val="21"/>
        </w:rPr>
        <w:t>乙  方：</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（以下简称乙方）</w:t>
      </w:r>
    </w:p>
    <w:p>
      <w:pPr>
        <w:spacing w:line="360" w:lineRule="auto"/>
        <w:rPr>
          <w:rFonts w:ascii="Arial" w:hAnsi="Arial" w:cs="Arial"/>
          <w:color w:val="000000"/>
          <w:kern w:val="0"/>
          <w:szCs w:val="21"/>
        </w:rPr>
      </w:pPr>
      <w:r>
        <w:rPr>
          <w:rFonts w:hint="eastAsia" w:ascii="Arial" w:hAnsi="Arial" w:cs="Arial"/>
          <w:color w:val="000000"/>
          <w:kern w:val="0"/>
          <w:szCs w:val="21"/>
        </w:rPr>
        <w:t xml:space="preserve">   </w:t>
      </w:r>
    </w:p>
    <w:p>
      <w:pPr>
        <w:spacing w:line="360" w:lineRule="auto"/>
        <w:ind w:firstLine="420" w:firstLineChars="200"/>
        <w:rPr>
          <w:color w:val="000000"/>
          <w:szCs w:val="21"/>
        </w:rPr>
      </w:pPr>
      <w:r>
        <w:rPr>
          <w:rFonts w:ascii="Arial" w:hAnsi="Arial" w:cs="Arial"/>
          <w:color w:val="000000"/>
          <w:kern w:val="0"/>
          <w:szCs w:val="21"/>
        </w:rPr>
        <w:t>甲</w:t>
      </w:r>
      <w:r>
        <w:rPr>
          <w:rFonts w:hint="eastAsia" w:ascii="Arial" w:hAnsi="Arial" w:cs="Arial"/>
          <w:color w:val="000000"/>
          <w:kern w:val="0"/>
          <w:szCs w:val="21"/>
        </w:rPr>
        <w:t>、</w:t>
      </w:r>
      <w:r>
        <w:rPr>
          <w:rFonts w:ascii="Arial" w:hAnsi="Arial" w:cs="Arial"/>
          <w:color w:val="000000"/>
          <w:kern w:val="0"/>
          <w:szCs w:val="21"/>
        </w:rPr>
        <w:t>乙双方依据《中华人民共和国</w:t>
      </w:r>
      <w:r>
        <w:rPr>
          <w:rFonts w:hint="eastAsia" w:ascii="Arial" w:hAnsi="Arial" w:cs="Arial"/>
          <w:color w:val="000000"/>
          <w:kern w:val="0"/>
          <w:szCs w:val="21"/>
        </w:rPr>
        <w:t>民法典</w:t>
      </w:r>
      <w:r>
        <w:rPr>
          <w:rFonts w:ascii="Arial" w:hAnsi="Arial" w:cs="Arial"/>
          <w:color w:val="000000"/>
          <w:kern w:val="0"/>
          <w:szCs w:val="21"/>
        </w:rPr>
        <w:t>》和有关</w:t>
      </w:r>
      <w:r>
        <w:rPr>
          <w:rFonts w:hint="eastAsia" w:ascii="Arial" w:hAnsi="Arial" w:cs="Arial"/>
          <w:color w:val="000000"/>
          <w:kern w:val="0"/>
          <w:szCs w:val="21"/>
        </w:rPr>
        <w:t>法律、</w:t>
      </w:r>
      <w:r>
        <w:rPr>
          <w:rFonts w:ascii="Arial" w:hAnsi="Arial" w:cs="Arial"/>
          <w:color w:val="000000"/>
          <w:kern w:val="0"/>
          <w:szCs w:val="21"/>
        </w:rPr>
        <w:t>法规的规定，</w:t>
      </w:r>
      <w:r>
        <w:rPr>
          <w:rFonts w:hint="eastAsia"/>
          <w:color w:val="000000"/>
          <w:szCs w:val="21"/>
        </w:rPr>
        <w:t>经友好协商，本着平等互利的原则，</w:t>
      </w:r>
      <w:r>
        <w:rPr>
          <w:rFonts w:ascii="Arial" w:hAnsi="Arial" w:cs="Arial"/>
          <w:color w:val="000000"/>
          <w:kern w:val="0"/>
          <w:szCs w:val="21"/>
        </w:rPr>
        <w:t>签订本合同，</w:t>
      </w:r>
      <w:r>
        <w:rPr>
          <w:rFonts w:hint="eastAsia"/>
          <w:color w:val="000000"/>
          <w:szCs w:val="21"/>
        </w:rPr>
        <w:t>以兹共同遵守。</w:t>
      </w:r>
    </w:p>
    <w:p>
      <w:pPr>
        <w:spacing w:line="360" w:lineRule="auto"/>
        <w:rPr>
          <w:b/>
          <w:color w:val="000000"/>
          <w:szCs w:val="21"/>
        </w:rPr>
      </w:pPr>
      <w:r>
        <w:rPr>
          <w:rFonts w:hint="eastAsia"/>
          <w:b/>
          <w:color w:val="000000"/>
          <w:szCs w:val="21"/>
        </w:rPr>
        <w:t>一、合同事宜：</w:t>
      </w:r>
    </w:p>
    <w:p>
      <w:pPr>
        <w:spacing w:line="360" w:lineRule="auto"/>
        <w:ind w:firstLine="420" w:firstLineChars="200"/>
        <w:rPr>
          <w:b/>
          <w:szCs w:val="21"/>
        </w:rPr>
      </w:pPr>
      <w:r>
        <w:rPr>
          <w:rFonts w:hint="eastAsia"/>
          <w:color w:val="000000"/>
          <w:szCs w:val="21"/>
        </w:rPr>
        <w:t>合同内容：</w:t>
      </w:r>
      <w:r>
        <w:rPr>
          <w:rFonts w:hint="eastAsia"/>
          <w:color w:val="000000"/>
          <w:szCs w:val="21"/>
          <w:lang w:val="en-US" w:eastAsia="zh-CN"/>
        </w:rPr>
        <w:t>按照甲方</w:t>
      </w:r>
      <w:r>
        <w:rPr>
          <w:rFonts w:hint="eastAsia"/>
          <w:color w:val="000000"/>
          <w:szCs w:val="21"/>
        </w:rPr>
        <w:t>提供的</w:t>
      </w:r>
      <w:r>
        <w:rPr>
          <w:rFonts w:hint="eastAsia"/>
          <w:color w:val="000000"/>
          <w:szCs w:val="21"/>
          <w:lang w:val="en-US" w:eastAsia="zh-CN"/>
        </w:rPr>
        <w:t>执行清单</w:t>
      </w:r>
      <w:r>
        <w:rPr>
          <w:rFonts w:hint="eastAsia"/>
          <w:color w:val="000000"/>
          <w:szCs w:val="21"/>
        </w:rPr>
        <w:t>所包含的全部</w:t>
      </w:r>
      <w:r>
        <w:rPr>
          <w:rFonts w:hint="eastAsia"/>
          <w:color w:val="000000"/>
          <w:szCs w:val="21"/>
          <w:lang w:val="en-US" w:eastAsia="zh-CN"/>
        </w:rPr>
        <w:t>设施设备及材料（</w:t>
      </w:r>
      <w:r>
        <w:rPr>
          <w:rFonts w:hint="eastAsia"/>
          <w:color w:val="000000"/>
          <w:szCs w:val="21"/>
        </w:rPr>
        <w:t>具体以</w:t>
      </w:r>
      <w:r>
        <w:rPr>
          <w:rFonts w:hint="eastAsia"/>
          <w:color w:val="000000"/>
          <w:szCs w:val="21"/>
          <w:lang w:val="en-US" w:eastAsia="zh-CN"/>
        </w:rPr>
        <w:t>甲方确认的执行清单</w:t>
      </w:r>
      <w:r>
        <w:rPr>
          <w:rFonts w:hint="eastAsia"/>
          <w:color w:val="000000"/>
          <w:szCs w:val="21"/>
        </w:rPr>
        <w:t>为准</w:t>
      </w:r>
      <w:r>
        <w:rPr>
          <w:rFonts w:hint="eastAsia"/>
          <w:color w:val="000000"/>
          <w:szCs w:val="21"/>
          <w:lang w:eastAsia="zh-CN"/>
        </w:rPr>
        <w:t>）</w:t>
      </w:r>
      <w:r>
        <w:rPr>
          <w:rFonts w:hint="eastAsia"/>
          <w:color w:val="000000"/>
          <w:szCs w:val="21"/>
        </w:rPr>
        <w:t>，</w:t>
      </w:r>
      <w:r>
        <w:rPr>
          <w:rFonts w:hint="eastAsia"/>
          <w:color w:val="000000"/>
          <w:szCs w:val="21"/>
          <w:lang w:val="en-US" w:eastAsia="zh-CN"/>
        </w:rPr>
        <w:t>包括但不限于设施设备及材料的生产制作（利用或采购或租赁）、安装、调试、运行使用及拆除后存放至甲方指定的位置，并满足</w:t>
      </w:r>
      <w:r>
        <w:rPr>
          <w:rFonts w:hint="eastAsia"/>
          <w:color w:val="000000"/>
          <w:szCs w:val="21"/>
          <w:lang w:eastAsia="zh-CN"/>
        </w:rPr>
        <w:t>重庆国际光影文化旅游季-重庆市儿童公园光影艺术邀请展</w:t>
      </w:r>
      <w:r>
        <w:rPr>
          <w:rFonts w:hint="eastAsia"/>
          <w:color w:val="000000"/>
          <w:szCs w:val="21"/>
          <w:lang w:val="en-US" w:eastAsia="zh-CN"/>
        </w:rPr>
        <w:t>方案效果要求。</w:t>
      </w:r>
    </w:p>
    <w:p>
      <w:pPr>
        <w:spacing w:line="360" w:lineRule="auto"/>
        <w:ind w:right="-441" w:rightChars="-210" w:firstLine="420" w:firstLineChars="200"/>
        <w:rPr>
          <w:rFonts w:hint="eastAsia"/>
          <w:color w:val="000000"/>
          <w:szCs w:val="21"/>
          <w:lang w:eastAsia="zh-CN"/>
        </w:rPr>
      </w:pPr>
      <w:r>
        <w:rPr>
          <w:rFonts w:hint="eastAsia"/>
          <w:color w:val="000000"/>
          <w:szCs w:val="21"/>
        </w:rPr>
        <w:t>活动时间：202</w:t>
      </w:r>
      <w:r>
        <w:rPr>
          <w:rFonts w:hint="eastAsia"/>
          <w:color w:val="000000"/>
          <w:szCs w:val="21"/>
          <w:lang w:val="en-US" w:eastAsia="zh-CN"/>
        </w:rPr>
        <w:t>5</w:t>
      </w:r>
      <w:r>
        <w:rPr>
          <w:rFonts w:hint="eastAsia"/>
          <w:color w:val="000000"/>
          <w:szCs w:val="21"/>
        </w:rPr>
        <w:t>年12月</w:t>
      </w:r>
      <w:r>
        <w:rPr>
          <w:rFonts w:hint="eastAsia"/>
          <w:color w:val="000000"/>
          <w:szCs w:val="21"/>
          <w:lang w:val="en-US" w:eastAsia="zh-CN"/>
        </w:rPr>
        <w:t>31</w:t>
      </w:r>
      <w:r>
        <w:rPr>
          <w:rFonts w:hint="eastAsia"/>
          <w:color w:val="000000"/>
          <w:szCs w:val="21"/>
        </w:rPr>
        <w:t>日-</w:t>
      </w:r>
      <w:r>
        <w:rPr>
          <w:color w:val="000000"/>
          <w:szCs w:val="21"/>
        </w:rPr>
        <w:t>202</w:t>
      </w:r>
      <w:r>
        <w:rPr>
          <w:rFonts w:hint="eastAsia"/>
          <w:color w:val="000000"/>
          <w:szCs w:val="21"/>
          <w:lang w:val="en-US" w:eastAsia="zh-CN"/>
        </w:rPr>
        <w:t>6</w:t>
      </w:r>
      <w:r>
        <w:rPr>
          <w:rFonts w:hint="eastAsia"/>
          <w:color w:val="000000"/>
          <w:szCs w:val="21"/>
        </w:rPr>
        <w:t>年</w:t>
      </w:r>
      <w:r>
        <w:rPr>
          <w:rFonts w:hint="eastAsia"/>
          <w:color w:val="000000"/>
          <w:szCs w:val="21"/>
          <w:lang w:val="en-US" w:eastAsia="zh-CN"/>
        </w:rPr>
        <w:t>3</w:t>
      </w:r>
      <w:r>
        <w:rPr>
          <w:rFonts w:hint="eastAsia"/>
          <w:color w:val="000000"/>
          <w:szCs w:val="21"/>
        </w:rPr>
        <w:t>月</w:t>
      </w:r>
      <w:r>
        <w:rPr>
          <w:rFonts w:hint="eastAsia"/>
          <w:color w:val="000000"/>
          <w:szCs w:val="21"/>
          <w:lang w:val="en-US" w:eastAsia="zh-CN"/>
        </w:rPr>
        <w:t>3</w:t>
      </w:r>
      <w:r>
        <w:rPr>
          <w:rFonts w:hint="eastAsia"/>
          <w:color w:val="000000"/>
          <w:szCs w:val="21"/>
        </w:rPr>
        <w:t>日</w:t>
      </w:r>
      <w:r>
        <w:rPr>
          <w:rFonts w:hint="eastAsia"/>
          <w:color w:val="000000"/>
          <w:szCs w:val="21"/>
          <w:lang w:eastAsia="zh-CN"/>
        </w:rPr>
        <w:t>（</w:t>
      </w:r>
      <w:r>
        <w:rPr>
          <w:rFonts w:hint="eastAsia"/>
          <w:color w:val="000000"/>
          <w:szCs w:val="21"/>
          <w:lang w:val="en-US" w:eastAsia="zh-CN"/>
        </w:rPr>
        <w:t>暂定，最终以甲方确认为准</w:t>
      </w:r>
      <w:r>
        <w:rPr>
          <w:rFonts w:hint="eastAsia"/>
          <w:color w:val="000000"/>
          <w:szCs w:val="21"/>
          <w:lang w:eastAsia="zh-CN"/>
        </w:rPr>
        <w:t>）</w:t>
      </w:r>
    </w:p>
    <w:p>
      <w:pPr>
        <w:spacing w:line="360" w:lineRule="auto"/>
        <w:ind w:firstLine="420" w:firstLineChars="200"/>
        <w:jc w:val="left"/>
        <w:rPr>
          <w:rFonts w:hint="default" w:eastAsia="宋体"/>
          <w:color w:val="000000"/>
          <w:szCs w:val="21"/>
          <w:lang w:val="en-US" w:eastAsia="zh-CN"/>
        </w:rPr>
      </w:pPr>
      <w:r>
        <w:rPr>
          <w:rFonts w:hint="eastAsia"/>
          <w:color w:val="000000"/>
          <w:szCs w:val="21"/>
          <w:lang w:val="en-US" w:eastAsia="zh-CN"/>
        </w:rPr>
        <w:t>工期要求：</w:t>
      </w:r>
      <w:r>
        <w:rPr>
          <w:rFonts w:hint="eastAsia" w:ascii="宋体" w:hAnsi="宋体" w:cs="宋体"/>
          <w:color w:val="auto"/>
          <w:sz w:val="20"/>
          <w:szCs w:val="20"/>
          <w:highlight w:val="none"/>
          <w:lang w:val="en-US" w:eastAsia="zh-CN"/>
        </w:rPr>
        <w:t>2025年12月31日前完成，满足展览要求。</w:t>
      </w:r>
    </w:p>
    <w:p>
      <w:pPr>
        <w:spacing w:line="360" w:lineRule="auto"/>
        <w:ind w:firstLine="465"/>
        <w:rPr>
          <w:rFonts w:hint="default" w:eastAsia="宋体"/>
          <w:color w:val="000000"/>
          <w:szCs w:val="21"/>
          <w:lang w:val="en-US" w:eastAsia="zh-CN"/>
        </w:rPr>
      </w:pPr>
      <w:r>
        <w:rPr>
          <w:rFonts w:hint="eastAsia"/>
          <w:color w:val="000000"/>
          <w:szCs w:val="21"/>
        </w:rPr>
        <w:t>活动地点：重庆市</w:t>
      </w:r>
      <w:r>
        <w:rPr>
          <w:rFonts w:hint="eastAsia"/>
          <w:color w:val="000000"/>
          <w:szCs w:val="21"/>
          <w:lang w:val="en-US" w:eastAsia="zh-CN"/>
        </w:rPr>
        <w:t>儿童公园</w:t>
      </w:r>
    </w:p>
    <w:p>
      <w:pPr>
        <w:spacing w:line="360" w:lineRule="auto"/>
        <w:rPr>
          <w:b/>
          <w:color w:val="000000"/>
          <w:szCs w:val="21"/>
        </w:rPr>
      </w:pPr>
      <w:r>
        <w:rPr>
          <w:rFonts w:hint="eastAsia"/>
          <w:b/>
          <w:color w:val="000000"/>
          <w:szCs w:val="21"/>
        </w:rPr>
        <w:t>二、费用及付款方式</w:t>
      </w:r>
    </w:p>
    <w:p>
      <w:pPr>
        <w:spacing w:line="360" w:lineRule="auto"/>
        <w:ind w:firstLine="422" w:firstLineChars="200"/>
        <w:rPr>
          <w:color w:val="000000"/>
          <w:szCs w:val="21"/>
        </w:rPr>
      </w:pPr>
      <w:r>
        <w:rPr>
          <w:rFonts w:hint="eastAsia"/>
          <w:b/>
          <w:bCs/>
          <w:color w:val="000000"/>
          <w:szCs w:val="21"/>
        </w:rPr>
        <w:t>（一）合同费用</w:t>
      </w:r>
    </w:p>
    <w:p>
      <w:pPr>
        <w:spacing w:line="360" w:lineRule="auto"/>
        <w:ind w:firstLine="420" w:firstLineChars="200"/>
        <w:rPr>
          <w:szCs w:val="21"/>
        </w:rPr>
      </w:pPr>
      <w:r>
        <w:rPr>
          <w:rFonts w:hint="eastAsia"/>
          <w:color w:val="000000"/>
          <w:szCs w:val="21"/>
        </w:rPr>
        <w:t>本次</w:t>
      </w:r>
      <w:r>
        <w:rPr>
          <w:rFonts w:hint="eastAsia"/>
          <w:color w:val="000000"/>
          <w:szCs w:val="21"/>
          <w:lang w:val="en-US" w:eastAsia="zh-CN"/>
        </w:rPr>
        <w:t>重庆市儿童公园光影艺术展览</w:t>
      </w:r>
      <w:r>
        <w:rPr>
          <w:rFonts w:hint="eastAsia"/>
          <w:color w:val="000000"/>
          <w:szCs w:val="21"/>
        </w:rPr>
        <w:t>活动</w:t>
      </w:r>
      <w:r>
        <w:rPr>
          <w:rFonts w:hint="eastAsia"/>
          <w:color w:val="000000"/>
          <w:szCs w:val="21"/>
          <w:lang w:val="en-US" w:eastAsia="zh-CN"/>
        </w:rPr>
        <w:t>执行合同价</w:t>
      </w:r>
      <w:r>
        <w:rPr>
          <w:rFonts w:hint="eastAsia"/>
          <w:color w:val="000000"/>
          <w:szCs w:val="21"/>
        </w:rPr>
        <w:t>为：含税价￥</w:t>
      </w:r>
      <w:r>
        <w:rPr>
          <w:rFonts w:hint="eastAsia"/>
          <w:color w:val="000000"/>
          <w:szCs w:val="21"/>
          <w:u w:val="single"/>
        </w:rPr>
        <w:t xml:space="preserve"> </w:t>
      </w:r>
      <w:r>
        <w:rPr>
          <w:rFonts w:hint="eastAsia"/>
          <w:color w:val="000000"/>
          <w:szCs w:val="21"/>
          <w:u w:val="single"/>
          <w:lang w:val="en-US" w:eastAsia="zh-CN"/>
        </w:rPr>
        <w:t>*****</w:t>
      </w:r>
      <w:r>
        <w:rPr>
          <w:rFonts w:hint="eastAsia"/>
          <w:color w:val="000000"/>
          <w:szCs w:val="21"/>
          <w:u w:val="single"/>
        </w:rPr>
        <w:t xml:space="preserve"> </w:t>
      </w:r>
      <w:r>
        <w:rPr>
          <w:rFonts w:hint="eastAsia"/>
          <w:color w:val="000000"/>
          <w:szCs w:val="21"/>
        </w:rPr>
        <w:t>元，（大写：</w:t>
      </w:r>
      <w:r>
        <w:rPr>
          <w:rFonts w:hint="eastAsia"/>
          <w:color w:val="000000"/>
          <w:szCs w:val="21"/>
          <w:u w:val="single"/>
          <w:lang w:val="en-US" w:eastAsia="zh-CN"/>
        </w:rPr>
        <w:t>********</w:t>
      </w:r>
      <w:r>
        <w:rPr>
          <w:rFonts w:hint="eastAsia"/>
          <w:color w:val="000000"/>
          <w:szCs w:val="21"/>
          <w:u w:val="single"/>
        </w:rPr>
        <w:t>元整</w:t>
      </w:r>
      <w:r>
        <w:rPr>
          <w:rFonts w:hint="eastAsia"/>
          <w:color w:val="000000"/>
          <w:szCs w:val="21"/>
        </w:rPr>
        <w:t>，不含税：</w:t>
      </w:r>
      <w:r>
        <w:rPr>
          <w:rFonts w:hint="eastAsia"/>
          <w:color w:val="000000"/>
          <w:szCs w:val="21"/>
          <w:lang w:val="en-US" w:eastAsia="zh-CN"/>
        </w:rPr>
        <w:t>*****</w:t>
      </w:r>
      <w:r>
        <w:rPr>
          <w:rFonts w:hint="eastAsia"/>
          <w:color w:val="000000"/>
          <w:szCs w:val="21"/>
        </w:rPr>
        <w:t>元，税率6%，税费：</w:t>
      </w:r>
      <w:r>
        <w:rPr>
          <w:rFonts w:hint="eastAsia"/>
          <w:color w:val="000000"/>
          <w:szCs w:val="21"/>
          <w:lang w:val="en-US" w:eastAsia="zh-CN"/>
        </w:rPr>
        <w:t>*****</w:t>
      </w:r>
      <w:r>
        <w:rPr>
          <w:rFonts w:hint="eastAsia"/>
          <w:color w:val="000000"/>
          <w:szCs w:val="21"/>
        </w:rPr>
        <w:t>元）。费用包含：</w:t>
      </w:r>
      <w:r>
        <w:rPr>
          <w:rFonts w:hint="eastAsia"/>
          <w:color w:val="000000"/>
          <w:szCs w:val="21"/>
          <w:lang w:val="en-US" w:eastAsia="zh-CN"/>
        </w:rPr>
        <w:t>整体方案</w:t>
      </w:r>
      <w:r>
        <w:rPr>
          <w:rFonts w:hint="eastAsia"/>
          <w:color w:val="000000"/>
          <w:szCs w:val="21"/>
        </w:rPr>
        <w:t>执行</w:t>
      </w:r>
      <w:r>
        <w:rPr>
          <w:rFonts w:hint="eastAsia"/>
          <w:color w:val="000000"/>
          <w:szCs w:val="21"/>
          <w:lang w:val="en-US" w:eastAsia="zh-CN"/>
        </w:rPr>
        <w:t>费用</w:t>
      </w:r>
      <w:r>
        <w:rPr>
          <w:rFonts w:hint="eastAsia"/>
          <w:color w:val="000000"/>
          <w:szCs w:val="21"/>
          <w:lang w:eastAsia="zh-CN"/>
        </w:rPr>
        <w:t>；</w:t>
      </w:r>
      <w:r>
        <w:rPr>
          <w:rFonts w:hint="eastAsia"/>
          <w:color w:val="000000"/>
          <w:szCs w:val="21"/>
          <w:lang w:val="en-US" w:eastAsia="zh-CN"/>
        </w:rPr>
        <w:t>甲方自有设施设备的搬运、安装、拆卸费；需采购设施设及材料的</w:t>
      </w:r>
      <w:r>
        <w:rPr>
          <w:rFonts w:hint="eastAsia"/>
          <w:color w:val="000000"/>
          <w:szCs w:val="21"/>
        </w:rPr>
        <w:t>购买</w:t>
      </w:r>
      <w:r>
        <w:rPr>
          <w:rFonts w:hint="eastAsia"/>
          <w:color w:val="000000"/>
          <w:szCs w:val="21"/>
          <w:lang w:val="en-US" w:eastAsia="zh-CN"/>
        </w:rPr>
        <w:t>费</w:t>
      </w:r>
      <w:r>
        <w:rPr>
          <w:rFonts w:hint="eastAsia"/>
          <w:color w:val="000000"/>
          <w:szCs w:val="21"/>
          <w:lang w:eastAsia="zh-CN"/>
        </w:rPr>
        <w:t>；</w:t>
      </w:r>
      <w:r>
        <w:rPr>
          <w:rFonts w:hint="eastAsia"/>
          <w:color w:val="000000"/>
          <w:szCs w:val="21"/>
          <w:lang w:val="en-US" w:eastAsia="zh-CN"/>
        </w:rPr>
        <w:t>需租赁设施设备及材料的租赁费；完成执行清单和方案中所有设施设备</w:t>
      </w:r>
      <w:r>
        <w:rPr>
          <w:rFonts w:hint="eastAsia"/>
          <w:color w:val="000000"/>
          <w:szCs w:val="21"/>
        </w:rPr>
        <w:t>搭建</w:t>
      </w:r>
      <w:r>
        <w:rPr>
          <w:rFonts w:hint="eastAsia"/>
          <w:color w:val="000000"/>
          <w:szCs w:val="21"/>
          <w:lang w:eastAsia="zh-CN"/>
        </w:rPr>
        <w:t>、</w:t>
      </w:r>
      <w:r>
        <w:rPr>
          <w:rFonts w:hint="eastAsia"/>
          <w:color w:val="000000"/>
          <w:szCs w:val="21"/>
          <w:lang w:val="en-US" w:eastAsia="zh-CN"/>
        </w:rPr>
        <w:t>安装、调试、运行保障、拆除、搬运等所需的人工、机械设备、材料、管理费、</w:t>
      </w:r>
      <w:r>
        <w:rPr>
          <w:rFonts w:hint="eastAsia"/>
          <w:color w:val="000000"/>
          <w:szCs w:val="21"/>
        </w:rPr>
        <w:t>税费</w:t>
      </w:r>
      <w:r>
        <w:rPr>
          <w:rFonts w:hint="eastAsia"/>
          <w:szCs w:val="21"/>
        </w:rPr>
        <w:t>等</w:t>
      </w:r>
      <w:r>
        <w:rPr>
          <w:rFonts w:hint="eastAsia"/>
          <w:color w:val="000000"/>
          <w:szCs w:val="21"/>
        </w:rPr>
        <w:t>本合同产生的所有费用</w:t>
      </w:r>
      <w:r>
        <w:rPr>
          <w:rFonts w:hint="eastAsia"/>
          <w:szCs w:val="21"/>
        </w:rPr>
        <w:t>（费用组成详见附件）。</w:t>
      </w:r>
    </w:p>
    <w:p>
      <w:pPr>
        <w:spacing w:line="440" w:lineRule="exact"/>
        <w:ind w:firstLine="420" w:firstLineChars="200"/>
        <w:rPr>
          <w:rFonts w:hint="default" w:ascii="宋体" w:hAnsi="宋体" w:eastAsia="宋体"/>
          <w:szCs w:val="21"/>
          <w:lang w:val="en-US" w:eastAsia="zh-CN"/>
        </w:rPr>
      </w:pPr>
      <w:r>
        <w:rPr>
          <w:rFonts w:hint="eastAsia" w:ascii="宋体" w:hAnsi="宋体"/>
          <w:szCs w:val="21"/>
        </w:rPr>
        <w:t>在</w:t>
      </w:r>
      <w:r>
        <w:rPr>
          <w:rFonts w:hint="eastAsia" w:ascii="宋体" w:hAnsi="宋体"/>
          <w:szCs w:val="21"/>
          <w:lang w:val="en-US" w:eastAsia="zh-CN"/>
        </w:rPr>
        <w:t>本项目</w:t>
      </w:r>
      <w:r>
        <w:rPr>
          <w:rFonts w:hint="eastAsia" w:ascii="宋体" w:hAnsi="宋体"/>
          <w:szCs w:val="21"/>
        </w:rPr>
        <w:t>实际执行过程中需增</w:t>
      </w:r>
      <w:r>
        <w:rPr>
          <w:rFonts w:hint="eastAsia" w:ascii="宋体" w:hAnsi="宋体"/>
          <w:szCs w:val="21"/>
          <w:lang w:val="en-US" w:eastAsia="zh-CN"/>
        </w:rPr>
        <w:t>加执行清单以外的设施设备及材料的</w:t>
      </w:r>
      <w:r>
        <w:rPr>
          <w:rFonts w:hint="eastAsia" w:ascii="宋体" w:hAnsi="宋体"/>
          <w:szCs w:val="21"/>
        </w:rPr>
        <w:t>，须经甲方同意后方可实施，因而引起费用变化的，</w:t>
      </w:r>
      <w:r>
        <w:rPr>
          <w:rFonts w:hint="eastAsia" w:ascii="宋体" w:hAnsi="宋体"/>
          <w:szCs w:val="21"/>
          <w:lang w:val="en-US" w:eastAsia="zh-CN"/>
        </w:rPr>
        <w:t>按双方共同确认的价格纳入合同据实</w:t>
      </w:r>
      <w:r>
        <w:rPr>
          <w:rFonts w:hint="eastAsia" w:ascii="宋体" w:hAnsi="宋体"/>
          <w:szCs w:val="21"/>
        </w:rPr>
        <w:t>结算</w:t>
      </w:r>
      <w:r>
        <w:rPr>
          <w:rFonts w:hint="eastAsia" w:ascii="宋体" w:hAnsi="宋体"/>
          <w:szCs w:val="21"/>
          <w:lang w:eastAsia="zh-CN"/>
        </w:rPr>
        <w:t>，</w:t>
      </w:r>
      <w:r>
        <w:rPr>
          <w:rFonts w:hint="eastAsia" w:ascii="宋体" w:hAnsi="宋体"/>
          <w:szCs w:val="21"/>
          <w:lang w:val="en-US" w:eastAsia="zh-CN"/>
        </w:rPr>
        <w:t>不受执行清单总价限制。新增部分双方因价格无法达成共识的，由甲方委托第三方造价咨询单位核定价格，造价咨询费用由乙方承担（甲乙双方和造价咨询单位签订三方合同，由甲方委托造价咨询内容，由乙方直接支付造价咨询费用，乙方不予支付造价咨询费用的由甲方在执行费用中予以扣除）。</w:t>
      </w:r>
    </w:p>
    <w:p>
      <w:pPr>
        <w:spacing w:line="360" w:lineRule="auto"/>
        <w:ind w:firstLine="413" w:firstLineChars="196"/>
        <w:rPr>
          <w:b/>
          <w:color w:val="000000"/>
          <w:szCs w:val="21"/>
        </w:rPr>
      </w:pPr>
      <w:r>
        <w:rPr>
          <w:rFonts w:hint="eastAsia"/>
          <w:b/>
          <w:color w:val="000000"/>
          <w:szCs w:val="21"/>
        </w:rPr>
        <w:t xml:space="preserve">（二）付款方式： </w:t>
      </w:r>
    </w:p>
    <w:p>
      <w:pPr>
        <w:autoSpaceDE w:val="0"/>
        <w:autoSpaceDN w:val="0"/>
        <w:spacing w:line="360" w:lineRule="auto"/>
        <w:ind w:firstLine="420" w:firstLineChars="200"/>
        <w:rPr>
          <w:rFonts w:hint="eastAsia" w:ascii="宋体" w:hAnsi="宋体" w:cs="宋体"/>
          <w:szCs w:val="21"/>
          <w:lang w:val="zh-CN" w:eastAsia="zh-CN"/>
        </w:rPr>
      </w:pPr>
      <w:r>
        <w:rPr>
          <w:rFonts w:hint="eastAsia" w:ascii="宋体" w:hAnsi="宋体" w:cs="宋体"/>
          <w:szCs w:val="21"/>
          <w:lang w:val="zh-CN" w:eastAsia="zh-CN"/>
        </w:rPr>
        <w:t>1.本项目光影艺术装置安装调试完成，并经发包人验收合格后10个工作日内，发包人支付给承包人合同金额的60%。</w:t>
      </w:r>
    </w:p>
    <w:p>
      <w:pPr>
        <w:autoSpaceDE w:val="0"/>
        <w:autoSpaceDN w:val="0"/>
        <w:spacing w:line="360" w:lineRule="auto"/>
        <w:ind w:firstLine="420" w:firstLineChars="200"/>
        <w:rPr>
          <w:rFonts w:hint="eastAsia" w:ascii="宋体" w:hAnsi="宋体" w:cs="宋体"/>
          <w:szCs w:val="21"/>
          <w:lang w:val="zh-CN" w:eastAsia="zh-CN"/>
        </w:rPr>
      </w:pPr>
      <w:r>
        <w:rPr>
          <w:rFonts w:hint="eastAsia" w:ascii="宋体" w:hAnsi="宋体" w:cs="宋体"/>
          <w:szCs w:val="21"/>
          <w:lang w:val="zh-CN" w:eastAsia="zh-CN"/>
        </w:rPr>
        <w:t>2.本项目全部内容执行完成并经发包人确任结算金额后10个工作日内，发包人支付给承包人至结算金额的100%。</w:t>
      </w:r>
    </w:p>
    <w:p>
      <w:pPr>
        <w:autoSpaceDE w:val="0"/>
        <w:autoSpaceDN w:val="0"/>
        <w:spacing w:line="360" w:lineRule="auto"/>
        <w:ind w:firstLine="420" w:firstLineChars="200"/>
        <w:rPr>
          <w:rFonts w:hint="eastAsia" w:ascii="宋体" w:hAnsi="宋体" w:cs="宋体"/>
          <w:szCs w:val="21"/>
          <w:lang w:val="zh-CN" w:eastAsia="zh-CN"/>
        </w:rPr>
      </w:pPr>
      <w:r>
        <w:rPr>
          <w:rFonts w:hint="eastAsia" w:ascii="宋体" w:hAnsi="宋体" w:cs="宋体"/>
          <w:szCs w:val="21"/>
          <w:lang w:val="zh-CN" w:eastAsia="zh-CN"/>
        </w:rPr>
        <w:t>3.发包人付款前，承包人应向发包人提供与付款金额相对应增值税专用发票，否则发包人有权暂缓付款，由此导致的延缓付款责任由承包人承担。</w:t>
      </w:r>
    </w:p>
    <w:p>
      <w:pPr>
        <w:autoSpaceDE w:val="0"/>
        <w:autoSpaceDN w:val="0"/>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甲方开票信息如下：</w:t>
      </w:r>
    </w:p>
    <w:p>
      <w:pPr>
        <w:pStyle w:val="2"/>
        <w:rPr>
          <w:rFonts w:hint="eastAsia"/>
          <w:lang w:val="en-US" w:eastAsia="zh-CN"/>
        </w:rPr>
      </w:pPr>
      <w:r>
        <w:rPr>
          <w:rFonts w:hint="eastAsia"/>
          <w:lang w:val="en-US" w:eastAsia="zh-CN"/>
        </w:rPr>
        <w:t>名称：重庆山水城文化旅游发展有限公司</w:t>
      </w:r>
    </w:p>
    <w:p>
      <w:pPr>
        <w:ind w:firstLine="420" w:firstLineChars="200"/>
        <w:rPr>
          <w:rFonts w:hint="eastAsia"/>
          <w:lang w:val="en-US" w:eastAsia="zh-CN"/>
        </w:rPr>
      </w:pPr>
      <w:r>
        <w:rPr>
          <w:rFonts w:hint="eastAsia"/>
          <w:lang w:val="en-US" w:eastAsia="zh-CN"/>
        </w:rPr>
        <w:t>税号：91500103MA60M7A6XU</w:t>
      </w:r>
    </w:p>
    <w:p>
      <w:pPr>
        <w:pStyle w:val="2"/>
        <w:rPr>
          <w:rFonts w:hint="eastAsia"/>
          <w:lang w:val="en-US" w:eastAsia="zh-CN"/>
        </w:rPr>
      </w:pPr>
      <w:r>
        <w:rPr>
          <w:rFonts w:hint="eastAsia"/>
          <w:lang w:val="en-US" w:eastAsia="zh-CN"/>
        </w:rPr>
        <w:t>单位地址：重庆市渝中区民生路283号8-A</w:t>
      </w:r>
    </w:p>
    <w:p>
      <w:pPr>
        <w:ind w:firstLine="420" w:firstLineChars="200"/>
        <w:rPr>
          <w:rFonts w:hint="eastAsia"/>
          <w:lang w:val="en-US" w:eastAsia="zh-CN"/>
        </w:rPr>
      </w:pPr>
      <w:r>
        <w:rPr>
          <w:rFonts w:hint="eastAsia"/>
          <w:lang w:val="en-US" w:eastAsia="zh-CN"/>
        </w:rPr>
        <w:t>电话号码：023-67602776</w:t>
      </w:r>
    </w:p>
    <w:p>
      <w:pPr>
        <w:pStyle w:val="2"/>
        <w:rPr>
          <w:rFonts w:hint="eastAsia"/>
          <w:lang w:val="en-US" w:eastAsia="zh-CN"/>
        </w:rPr>
      </w:pPr>
      <w:r>
        <w:rPr>
          <w:rFonts w:hint="eastAsia"/>
          <w:lang w:val="en-US" w:eastAsia="zh-CN"/>
        </w:rPr>
        <w:t>开户银行：重庆三峡银行渝中支行</w:t>
      </w:r>
    </w:p>
    <w:p>
      <w:pPr>
        <w:ind w:firstLine="420" w:firstLineChars="200"/>
        <w:rPr>
          <w:rFonts w:hint="default"/>
          <w:lang w:val="en-US" w:eastAsia="zh-CN"/>
        </w:rPr>
      </w:pPr>
      <w:r>
        <w:rPr>
          <w:rFonts w:hint="eastAsia"/>
          <w:lang w:val="en-US" w:eastAsia="zh-CN"/>
        </w:rPr>
        <w:t>银行账户：0101014210023878</w:t>
      </w:r>
    </w:p>
    <w:p>
      <w:pPr>
        <w:autoSpaceDE w:val="0"/>
        <w:autoSpaceDN w:val="0"/>
        <w:spacing w:line="360" w:lineRule="auto"/>
        <w:ind w:firstLine="420" w:firstLineChars="200"/>
        <w:rPr>
          <w:rFonts w:ascii="宋体" w:hAnsi="宋体" w:cs="宋体"/>
          <w:szCs w:val="21"/>
          <w:lang w:val="zh-CN"/>
        </w:rPr>
      </w:pPr>
      <w:r>
        <w:rPr>
          <w:rFonts w:hint="eastAsia" w:ascii="宋体" w:hAnsi="宋体" w:cs="宋体"/>
          <w:szCs w:val="21"/>
          <w:lang w:val="zh-CN"/>
        </w:rPr>
        <w:t>乙方银行帐号信息如下：</w:t>
      </w:r>
    </w:p>
    <w:p>
      <w:pPr>
        <w:spacing w:line="360" w:lineRule="auto"/>
        <w:ind w:left="1" w:firstLine="420" w:firstLineChars="200"/>
        <w:rPr>
          <w:rFonts w:hint="eastAsia"/>
          <w:color w:val="000000"/>
          <w:szCs w:val="21"/>
        </w:rPr>
      </w:pPr>
      <w:r>
        <w:rPr>
          <w:rFonts w:hint="eastAsia"/>
          <w:color w:val="000000"/>
          <w:szCs w:val="21"/>
        </w:rPr>
        <w:t>户    名：</w:t>
      </w:r>
    </w:p>
    <w:p>
      <w:pPr>
        <w:spacing w:line="360" w:lineRule="auto"/>
        <w:ind w:left="1" w:firstLine="420" w:firstLineChars="200"/>
        <w:rPr>
          <w:color w:val="000000"/>
          <w:szCs w:val="21"/>
          <w:lang w:val="zh-CN"/>
        </w:rPr>
      </w:pPr>
      <w:r>
        <w:rPr>
          <w:rFonts w:hint="eastAsia"/>
          <w:color w:val="000000"/>
          <w:szCs w:val="21"/>
          <w:lang w:val="zh-CN"/>
        </w:rPr>
        <w:t>开 户 行：</w:t>
      </w:r>
    </w:p>
    <w:p>
      <w:pPr>
        <w:spacing w:line="360" w:lineRule="auto"/>
        <w:ind w:left="1" w:firstLine="420" w:firstLineChars="200"/>
        <w:rPr>
          <w:color w:val="000000"/>
          <w:szCs w:val="21"/>
        </w:rPr>
      </w:pPr>
      <w:r>
        <w:rPr>
          <w:rFonts w:hint="eastAsia"/>
          <w:color w:val="000000"/>
          <w:szCs w:val="21"/>
          <w:lang w:val="zh-CN"/>
        </w:rPr>
        <w:t>帐    号：</w:t>
      </w:r>
    </w:p>
    <w:p>
      <w:pPr>
        <w:spacing w:line="360" w:lineRule="auto"/>
        <w:rPr>
          <w:b/>
          <w:color w:val="000000"/>
          <w:szCs w:val="21"/>
        </w:rPr>
      </w:pPr>
      <w:r>
        <w:rPr>
          <w:rFonts w:hint="eastAsia"/>
          <w:b/>
          <w:color w:val="000000"/>
          <w:szCs w:val="21"/>
        </w:rPr>
        <w:t>三、甲方权利与</w:t>
      </w:r>
      <w:r>
        <w:rPr>
          <w:b/>
          <w:color w:val="000000"/>
          <w:szCs w:val="21"/>
        </w:rPr>
        <w:t>义务</w:t>
      </w:r>
      <w:r>
        <w:rPr>
          <w:rFonts w:hint="eastAsia"/>
          <w:b/>
          <w:color w:val="000000"/>
          <w:szCs w:val="21"/>
        </w:rPr>
        <w:t>：</w:t>
      </w:r>
    </w:p>
    <w:p>
      <w:pPr>
        <w:spacing w:line="360" w:lineRule="auto"/>
        <w:ind w:firstLine="411" w:firstLineChars="196"/>
        <w:rPr>
          <w:b/>
          <w:color w:val="000000"/>
          <w:szCs w:val="21"/>
        </w:rPr>
      </w:pPr>
      <w:r>
        <w:rPr>
          <w:rFonts w:hint="eastAsia"/>
          <w:color w:val="000000"/>
          <w:szCs w:val="21"/>
        </w:rPr>
        <w:t>1、负责提供本次</w:t>
      </w:r>
      <w:r>
        <w:rPr>
          <w:rFonts w:hint="eastAsia"/>
          <w:color w:val="000000"/>
          <w:szCs w:val="21"/>
          <w:lang w:val="en-US" w:eastAsia="zh-CN"/>
        </w:rPr>
        <w:t>展览</w:t>
      </w:r>
      <w:r>
        <w:rPr>
          <w:rFonts w:hint="eastAsia"/>
          <w:color w:val="000000"/>
          <w:szCs w:val="21"/>
        </w:rPr>
        <w:t>的举办场地、联系方式。</w:t>
      </w:r>
    </w:p>
    <w:p>
      <w:pPr>
        <w:spacing w:line="360" w:lineRule="auto"/>
        <w:ind w:firstLine="411" w:firstLineChars="196"/>
        <w:rPr>
          <w:color w:val="000000"/>
          <w:szCs w:val="21"/>
        </w:rPr>
      </w:pPr>
      <w:r>
        <w:rPr>
          <w:rFonts w:hint="eastAsia"/>
          <w:color w:val="000000"/>
          <w:szCs w:val="21"/>
        </w:rPr>
        <w:t>2、</w:t>
      </w:r>
      <w:r>
        <w:rPr>
          <w:rFonts w:hint="eastAsia"/>
          <w:color w:val="000000"/>
          <w:szCs w:val="21"/>
          <w:lang w:val="en-US" w:eastAsia="zh-CN"/>
        </w:rPr>
        <w:t>甲方负责</w:t>
      </w:r>
      <w:r>
        <w:rPr>
          <w:rFonts w:hint="eastAsia"/>
          <w:color w:val="000000"/>
          <w:szCs w:val="21"/>
        </w:rPr>
        <w:t>维护活动期间现场秩序保卫工作。</w:t>
      </w:r>
    </w:p>
    <w:p>
      <w:pPr>
        <w:spacing w:line="360" w:lineRule="auto"/>
        <w:ind w:firstLine="420" w:firstLineChars="200"/>
        <w:rPr>
          <w:color w:val="000000"/>
          <w:szCs w:val="21"/>
        </w:rPr>
      </w:pPr>
      <w:r>
        <w:rPr>
          <w:rFonts w:hint="eastAsia"/>
          <w:color w:val="000000"/>
          <w:szCs w:val="21"/>
        </w:rPr>
        <w:t>3、乙方在</w:t>
      </w:r>
      <w:r>
        <w:rPr>
          <w:rFonts w:hint="eastAsia"/>
          <w:color w:val="000000"/>
          <w:szCs w:val="21"/>
          <w:lang w:val="en-US" w:eastAsia="zh-CN"/>
        </w:rPr>
        <w:t>布展</w:t>
      </w:r>
      <w:r>
        <w:rPr>
          <w:rFonts w:hint="eastAsia"/>
          <w:color w:val="000000"/>
          <w:szCs w:val="21"/>
        </w:rPr>
        <w:t>时，甲方负责进行协调工作，</w:t>
      </w:r>
      <w:r>
        <w:rPr>
          <w:rFonts w:hint="eastAsia"/>
          <w:color w:val="000000"/>
          <w:szCs w:val="21"/>
          <w:lang w:val="en-US" w:eastAsia="zh-CN"/>
        </w:rPr>
        <w:t>包括但不限于水、电的接口提供，</w:t>
      </w:r>
      <w:r>
        <w:rPr>
          <w:rFonts w:hint="eastAsia"/>
          <w:color w:val="000000"/>
          <w:szCs w:val="21"/>
        </w:rPr>
        <w:t>确保布置的正常开展。</w:t>
      </w:r>
    </w:p>
    <w:p>
      <w:pPr>
        <w:spacing w:line="360" w:lineRule="auto"/>
        <w:ind w:firstLine="411" w:firstLineChars="196"/>
        <w:rPr>
          <w:color w:val="000000"/>
          <w:szCs w:val="21"/>
        </w:rPr>
      </w:pPr>
      <w:r>
        <w:rPr>
          <w:rFonts w:hint="eastAsia"/>
          <w:color w:val="000000"/>
          <w:szCs w:val="21"/>
        </w:rPr>
        <w:t>4、甲方需根据</w:t>
      </w:r>
      <w:r>
        <w:rPr>
          <w:rFonts w:hint="eastAsia"/>
          <w:color w:val="000000"/>
          <w:szCs w:val="21"/>
          <w:lang w:val="en-US" w:eastAsia="zh-CN"/>
        </w:rPr>
        <w:t>和合同约定</w:t>
      </w:r>
      <w:r>
        <w:rPr>
          <w:rFonts w:hint="eastAsia"/>
          <w:color w:val="000000"/>
          <w:szCs w:val="21"/>
        </w:rPr>
        <w:t>按期支付乙方费用，如</w:t>
      </w:r>
      <w:r>
        <w:rPr>
          <w:rFonts w:hint="eastAsia" w:ascii="宋体" w:hAnsi="宋体"/>
          <w:color w:val="000000"/>
          <w:szCs w:val="21"/>
        </w:rPr>
        <w:t>逾期则按合同总金额千分之五每日计算滞纳金</w:t>
      </w:r>
      <w:r>
        <w:rPr>
          <w:rFonts w:hint="eastAsia"/>
          <w:color w:val="000000"/>
          <w:szCs w:val="21"/>
        </w:rPr>
        <w:t>。</w:t>
      </w:r>
    </w:p>
    <w:p>
      <w:pPr>
        <w:spacing w:line="360" w:lineRule="auto"/>
        <w:ind w:firstLine="411" w:firstLineChars="196"/>
        <w:rPr>
          <w:color w:val="000000"/>
          <w:szCs w:val="21"/>
        </w:rPr>
      </w:pPr>
      <w:r>
        <w:rPr>
          <w:rFonts w:hint="eastAsia"/>
          <w:color w:val="000000"/>
          <w:szCs w:val="21"/>
        </w:rPr>
        <w:t>5、如因甲方原因</w:t>
      </w:r>
      <w:r>
        <w:rPr>
          <w:rFonts w:hint="eastAsia"/>
          <w:color w:val="000000"/>
          <w:szCs w:val="21"/>
          <w:lang w:val="en-US" w:eastAsia="zh-CN"/>
        </w:rPr>
        <w:t>展览</w:t>
      </w:r>
      <w:r>
        <w:rPr>
          <w:rFonts w:hint="eastAsia"/>
          <w:color w:val="000000"/>
          <w:szCs w:val="21"/>
        </w:rPr>
        <w:t>暂停或取消，甲方需按乙方已经发生的费用予以结算。</w:t>
      </w:r>
    </w:p>
    <w:p>
      <w:pPr>
        <w:spacing w:line="360" w:lineRule="auto"/>
        <w:rPr>
          <w:b/>
          <w:color w:val="000000"/>
          <w:szCs w:val="21"/>
        </w:rPr>
      </w:pPr>
      <w:r>
        <w:rPr>
          <w:rFonts w:hint="eastAsia"/>
          <w:b/>
          <w:color w:val="000000"/>
          <w:szCs w:val="21"/>
        </w:rPr>
        <w:t>四、乙方权利与</w:t>
      </w:r>
      <w:r>
        <w:rPr>
          <w:b/>
          <w:color w:val="000000"/>
          <w:szCs w:val="21"/>
        </w:rPr>
        <w:t>义务</w:t>
      </w:r>
      <w:r>
        <w:rPr>
          <w:rFonts w:hint="eastAsia"/>
          <w:b/>
          <w:color w:val="000000"/>
          <w:szCs w:val="21"/>
        </w:rPr>
        <w:t>：</w:t>
      </w:r>
    </w:p>
    <w:p>
      <w:pPr>
        <w:spacing w:line="360" w:lineRule="auto"/>
        <w:ind w:firstLine="411" w:firstLineChars="196"/>
        <w:rPr>
          <w:b/>
          <w:color w:val="000000"/>
          <w:szCs w:val="21"/>
        </w:rPr>
      </w:pPr>
      <w:r>
        <w:rPr>
          <w:rFonts w:hint="eastAsia"/>
          <w:color w:val="000000"/>
          <w:szCs w:val="21"/>
        </w:rPr>
        <w:t>1、按照本合同的附件《比选时确认的成交</w:t>
      </w:r>
      <w:r>
        <w:rPr>
          <w:rFonts w:hint="eastAsia"/>
          <w:color w:val="000000"/>
          <w:szCs w:val="21"/>
          <w:lang w:val="en-US" w:eastAsia="zh-CN"/>
        </w:rPr>
        <w:t>执行清单</w:t>
      </w:r>
      <w:r>
        <w:rPr>
          <w:rFonts w:hint="eastAsia"/>
          <w:color w:val="000000"/>
          <w:szCs w:val="21"/>
        </w:rPr>
        <w:t>明细表》及甲方的需求，按时且保质保量的完成</w:t>
      </w:r>
      <w:r>
        <w:rPr>
          <w:rFonts w:hint="eastAsia"/>
          <w:color w:val="000000"/>
          <w:szCs w:val="21"/>
          <w:lang w:val="en-US" w:eastAsia="zh-CN"/>
        </w:rPr>
        <w:t>执行内容</w:t>
      </w:r>
      <w:r>
        <w:rPr>
          <w:rFonts w:hint="eastAsia"/>
          <w:color w:val="000000"/>
          <w:szCs w:val="21"/>
        </w:rPr>
        <w:t>。</w:t>
      </w:r>
    </w:p>
    <w:p>
      <w:pPr>
        <w:spacing w:line="440" w:lineRule="exact"/>
        <w:ind w:left="2" w:leftChars="1" w:firstLine="420" w:firstLineChars="200"/>
        <w:rPr>
          <w:rFonts w:ascii="宋体" w:hAnsi="宋体"/>
          <w:color w:val="000000"/>
          <w:szCs w:val="21"/>
        </w:rPr>
      </w:pPr>
      <w:r>
        <w:rPr>
          <w:rFonts w:hint="eastAsia"/>
          <w:color w:val="000000"/>
          <w:szCs w:val="21"/>
        </w:rPr>
        <w:t>2、</w:t>
      </w:r>
      <w:r>
        <w:rPr>
          <w:rFonts w:hint="eastAsia" w:ascii="宋体" w:hAnsi="宋体"/>
          <w:bCs/>
          <w:color w:val="000000"/>
          <w:szCs w:val="21"/>
        </w:rPr>
        <w:t>乙方需确保所采购</w:t>
      </w:r>
      <w:r>
        <w:rPr>
          <w:rFonts w:hint="eastAsia" w:ascii="宋体" w:hAnsi="宋体"/>
          <w:bCs/>
          <w:color w:val="000000"/>
          <w:szCs w:val="21"/>
          <w:lang w:val="en-US" w:eastAsia="zh-CN"/>
        </w:rPr>
        <w:t>或租赁的设施设备及材料满足执行清单和方案要求，</w:t>
      </w:r>
      <w:r>
        <w:rPr>
          <w:rFonts w:hint="eastAsia"/>
          <w:color w:val="000000"/>
          <w:szCs w:val="21"/>
        </w:rPr>
        <w:t>所采购</w:t>
      </w:r>
      <w:r>
        <w:rPr>
          <w:rFonts w:hint="eastAsia"/>
          <w:color w:val="000000"/>
          <w:szCs w:val="21"/>
          <w:lang w:val="en-US" w:eastAsia="zh-CN"/>
        </w:rPr>
        <w:t>或租赁的设施设备及材料</w:t>
      </w:r>
      <w:r>
        <w:rPr>
          <w:rFonts w:hint="eastAsia"/>
          <w:color w:val="000000"/>
          <w:szCs w:val="21"/>
        </w:rPr>
        <w:t>质量安全、不得出现质量问题，若因此而产生的一切经济责任和法律责任概由乙方承担相应责任。</w:t>
      </w:r>
      <w:r>
        <w:rPr>
          <w:rFonts w:hint="eastAsia"/>
          <w:color w:val="000000"/>
          <w:szCs w:val="21"/>
          <w:lang w:val="en-US" w:eastAsia="zh-CN"/>
        </w:rPr>
        <w:t>乙方</w:t>
      </w:r>
      <w:r>
        <w:rPr>
          <w:rFonts w:hint="eastAsia"/>
          <w:color w:val="000000"/>
          <w:szCs w:val="21"/>
        </w:rPr>
        <w:t>所采购</w:t>
      </w:r>
      <w:r>
        <w:rPr>
          <w:rFonts w:hint="eastAsia"/>
          <w:color w:val="000000"/>
          <w:szCs w:val="21"/>
          <w:lang w:val="en-US" w:eastAsia="zh-CN"/>
        </w:rPr>
        <w:t>或租赁的设施设备及材料</w:t>
      </w:r>
      <w:r>
        <w:rPr>
          <w:rFonts w:hint="eastAsia" w:ascii="宋体" w:hAnsi="宋体"/>
          <w:color w:val="000000"/>
          <w:szCs w:val="21"/>
          <w:lang w:val="en-US" w:eastAsia="zh-CN"/>
        </w:rPr>
        <w:t>若与执行清单和方案要求</w:t>
      </w:r>
      <w:r>
        <w:rPr>
          <w:rFonts w:hint="eastAsia" w:ascii="宋体" w:hAnsi="宋体"/>
          <w:color w:val="000000"/>
          <w:szCs w:val="21"/>
        </w:rPr>
        <w:t>不一至</w:t>
      </w:r>
      <w:r>
        <w:rPr>
          <w:rFonts w:hint="eastAsia" w:ascii="宋体" w:hAnsi="宋体"/>
          <w:color w:val="000000"/>
          <w:szCs w:val="21"/>
          <w:lang w:val="en-US" w:eastAsia="zh-CN"/>
        </w:rPr>
        <w:t>的</w:t>
      </w:r>
      <w:r>
        <w:rPr>
          <w:rFonts w:hint="eastAsia" w:ascii="宋体" w:hAnsi="宋体"/>
          <w:color w:val="000000"/>
          <w:szCs w:val="21"/>
        </w:rPr>
        <w:t>，</w:t>
      </w:r>
      <w:r>
        <w:rPr>
          <w:rFonts w:hint="eastAsia" w:ascii="宋体" w:hAnsi="宋体"/>
          <w:color w:val="000000"/>
          <w:szCs w:val="21"/>
          <w:lang w:val="en-US" w:eastAsia="zh-CN"/>
        </w:rPr>
        <w:t>甲方将扣除相应费用；造成损失的，</w:t>
      </w:r>
      <w:r>
        <w:rPr>
          <w:rFonts w:hint="eastAsia" w:ascii="宋体" w:hAnsi="宋体"/>
          <w:color w:val="000000"/>
          <w:szCs w:val="21"/>
        </w:rPr>
        <w:t>乙方应赔偿甲方由此造成的经济损失。</w:t>
      </w:r>
    </w:p>
    <w:p>
      <w:pPr>
        <w:spacing w:line="440" w:lineRule="exact"/>
        <w:ind w:left="2" w:leftChars="1" w:firstLine="420" w:firstLineChars="200"/>
        <w:rPr>
          <w:color w:val="000000"/>
          <w:szCs w:val="21"/>
        </w:rPr>
      </w:pPr>
      <w:r>
        <w:rPr>
          <w:rFonts w:hint="eastAsia"/>
          <w:color w:val="000000"/>
          <w:szCs w:val="21"/>
        </w:rPr>
        <w:t>3、乙方确保</w:t>
      </w:r>
      <w:r>
        <w:rPr>
          <w:rFonts w:hint="eastAsia"/>
          <w:color w:val="000000"/>
          <w:szCs w:val="21"/>
          <w:lang w:val="en-US" w:eastAsia="zh-CN"/>
        </w:rPr>
        <w:t>甲方自有设施设备及材料在使用过程中的完好，造成损失的有乙方负责赔偿，赔偿费用由甲方在执行费用中予以扣除。</w:t>
      </w:r>
    </w:p>
    <w:p>
      <w:pPr>
        <w:spacing w:line="440" w:lineRule="exact"/>
        <w:ind w:left="2" w:leftChars="1" w:firstLine="420" w:firstLineChars="200"/>
        <w:rPr>
          <w:color w:val="000000"/>
          <w:szCs w:val="21"/>
        </w:rPr>
      </w:pPr>
      <w:r>
        <w:rPr>
          <w:rFonts w:hint="eastAsia"/>
          <w:color w:val="000000"/>
          <w:szCs w:val="21"/>
        </w:rPr>
        <w:t>4、乙方在施工期间，如损坏场地方任何公共设施设备，由乙方负责</w:t>
      </w:r>
      <w:r>
        <w:rPr>
          <w:rFonts w:hint="eastAsia"/>
          <w:color w:val="000000"/>
          <w:szCs w:val="21"/>
          <w:lang w:val="en-US" w:eastAsia="zh-CN"/>
        </w:rPr>
        <w:t>修复，若乙方拒绝修复的由甲方修复后在执行费用中予以扣除</w:t>
      </w:r>
      <w:r>
        <w:rPr>
          <w:rFonts w:hint="eastAsia"/>
          <w:color w:val="000000"/>
          <w:szCs w:val="21"/>
        </w:rPr>
        <w:t>。</w:t>
      </w:r>
    </w:p>
    <w:p>
      <w:pPr>
        <w:spacing w:line="440" w:lineRule="exact"/>
        <w:ind w:left="2" w:leftChars="1" w:firstLine="420" w:firstLineChars="200"/>
        <w:rPr>
          <w:color w:val="000000"/>
          <w:szCs w:val="21"/>
        </w:rPr>
      </w:pPr>
      <w:r>
        <w:rPr>
          <w:color w:val="000000"/>
          <w:szCs w:val="21"/>
        </w:rPr>
        <w:t>5</w:t>
      </w:r>
      <w:r>
        <w:rPr>
          <w:rFonts w:hint="eastAsia"/>
          <w:color w:val="000000"/>
          <w:szCs w:val="21"/>
        </w:rPr>
        <w:t>、乙方在</w:t>
      </w:r>
      <w:r>
        <w:rPr>
          <w:rFonts w:hint="eastAsia"/>
          <w:color w:val="000000"/>
          <w:szCs w:val="21"/>
          <w:lang w:val="en-US" w:eastAsia="zh-CN"/>
        </w:rPr>
        <w:t>展览</w:t>
      </w:r>
      <w:r>
        <w:rPr>
          <w:rFonts w:hint="eastAsia"/>
          <w:color w:val="000000"/>
          <w:szCs w:val="21"/>
        </w:rPr>
        <w:t>结束时应</w:t>
      </w:r>
      <w:r>
        <w:rPr>
          <w:rFonts w:hint="eastAsia"/>
          <w:color w:val="000000"/>
          <w:szCs w:val="21"/>
          <w:lang w:val="en-US" w:eastAsia="zh-CN"/>
        </w:rPr>
        <w:t>按照</w:t>
      </w:r>
      <w:r>
        <w:rPr>
          <w:rFonts w:hint="eastAsia"/>
          <w:color w:val="000000"/>
          <w:szCs w:val="21"/>
        </w:rPr>
        <w:t>甲方</w:t>
      </w:r>
      <w:r>
        <w:rPr>
          <w:rFonts w:hint="eastAsia"/>
          <w:color w:val="000000"/>
          <w:szCs w:val="21"/>
          <w:lang w:val="en-US" w:eastAsia="zh-CN"/>
        </w:rPr>
        <w:t>要求拆除指定设施设备并存放至甲方指定位置</w:t>
      </w:r>
      <w:r>
        <w:rPr>
          <w:rFonts w:hint="eastAsia"/>
          <w:color w:val="000000"/>
          <w:szCs w:val="21"/>
        </w:rPr>
        <w:t>，并将占用场地恢复至</w:t>
      </w:r>
      <w:r>
        <w:rPr>
          <w:rFonts w:hint="eastAsia"/>
          <w:color w:val="000000"/>
          <w:szCs w:val="21"/>
          <w:lang w:val="en-US" w:eastAsia="zh-CN"/>
        </w:rPr>
        <w:t>展览</w:t>
      </w:r>
      <w:r>
        <w:rPr>
          <w:rFonts w:hint="eastAsia"/>
          <w:color w:val="000000"/>
          <w:szCs w:val="21"/>
        </w:rPr>
        <w:t>活动前的状态。</w:t>
      </w:r>
    </w:p>
    <w:p>
      <w:pPr>
        <w:spacing w:line="440" w:lineRule="exact"/>
        <w:ind w:left="2" w:leftChars="1" w:firstLine="420" w:firstLineChars="200"/>
        <w:rPr>
          <w:color w:val="000000"/>
          <w:szCs w:val="21"/>
        </w:rPr>
      </w:pPr>
      <w:r>
        <w:rPr>
          <w:color w:val="000000"/>
          <w:szCs w:val="21"/>
        </w:rPr>
        <w:t>6</w:t>
      </w:r>
      <w:r>
        <w:rPr>
          <w:rFonts w:hint="eastAsia"/>
          <w:color w:val="000000"/>
          <w:szCs w:val="21"/>
        </w:rPr>
        <w:t>、在履行本合同的过程中乙方若给甲方的任何财产造成损坏，乙方需照价赔偿。</w:t>
      </w:r>
    </w:p>
    <w:p>
      <w:pPr>
        <w:spacing w:line="440" w:lineRule="exact"/>
        <w:ind w:left="2" w:leftChars="1" w:firstLine="420" w:firstLineChars="200"/>
        <w:rPr>
          <w:color w:val="000000"/>
          <w:szCs w:val="21"/>
        </w:rPr>
      </w:pPr>
      <w:r>
        <w:rPr>
          <w:rFonts w:hint="eastAsia"/>
          <w:color w:val="000000"/>
          <w:szCs w:val="21"/>
        </w:rPr>
        <w:t>7、本</w:t>
      </w:r>
      <w:r>
        <w:rPr>
          <w:rFonts w:hint="eastAsia"/>
          <w:color w:val="000000"/>
          <w:szCs w:val="21"/>
          <w:lang w:val="en-US" w:eastAsia="zh-CN"/>
        </w:rPr>
        <w:t>展览</w:t>
      </w:r>
      <w:r>
        <w:rPr>
          <w:rFonts w:hint="eastAsia"/>
          <w:color w:val="000000"/>
          <w:szCs w:val="21"/>
        </w:rPr>
        <w:t>相关运输及安装搭建风险由乙方自行负责。乙方在搭建灯光、音响、LED显示屏</w:t>
      </w:r>
      <w:r>
        <w:rPr>
          <w:rFonts w:hint="eastAsia"/>
          <w:color w:val="000000"/>
          <w:szCs w:val="21"/>
          <w:lang w:eastAsia="zh-CN"/>
        </w:rPr>
        <w:t>、</w:t>
      </w:r>
      <w:r>
        <w:rPr>
          <w:rFonts w:hint="eastAsia"/>
          <w:color w:val="000000"/>
          <w:szCs w:val="21"/>
          <w:lang w:val="en-US" w:eastAsia="zh-CN"/>
        </w:rPr>
        <w:t>灯光艺术装置</w:t>
      </w:r>
      <w:r>
        <w:rPr>
          <w:rFonts w:hint="eastAsia"/>
          <w:color w:val="000000"/>
          <w:szCs w:val="21"/>
        </w:rPr>
        <w:t>等设备时，应充分评估安装环境是否有安全隐患，如有应书面向甲方提出，如未提出所产生的安全问题、事故以及由此而产生的连带责任由乙方全权承担。同时,如因乙方原因造成的</w:t>
      </w:r>
      <w:r>
        <w:rPr>
          <w:rFonts w:hint="eastAsia"/>
          <w:color w:val="000000"/>
          <w:szCs w:val="21"/>
          <w:lang w:val="en-US" w:eastAsia="zh-CN"/>
        </w:rPr>
        <w:t>展览活动</w:t>
      </w:r>
      <w:r>
        <w:rPr>
          <w:rFonts w:hint="eastAsia"/>
          <w:color w:val="000000"/>
          <w:szCs w:val="21"/>
        </w:rPr>
        <w:t>现场安全问题影响了</w:t>
      </w:r>
      <w:r>
        <w:rPr>
          <w:rFonts w:hint="eastAsia"/>
          <w:color w:val="000000"/>
          <w:szCs w:val="21"/>
          <w:lang w:val="en-US" w:eastAsia="zh-CN"/>
        </w:rPr>
        <w:t>展览活动</w:t>
      </w:r>
      <w:r>
        <w:rPr>
          <w:rFonts w:hint="eastAsia"/>
          <w:color w:val="000000"/>
          <w:szCs w:val="21"/>
        </w:rPr>
        <w:t>进度及效果所造成的责任由乙方全部承担。</w:t>
      </w:r>
    </w:p>
    <w:p>
      <w:pPr>
        <w:spacing w:line="440" w:lineRule="exact"/>
        <w:rPr>
          <w:b/>
          <w:bCs/>
          <w:color w:val="000000"/>
          <w:szCs w:val="21"/>
        </w:rPr>
      </w:pPr>
      <w:r>
        <w:rPr>
          <w:rFonts w:hint="eastAsia"/>
          <w:b/>
          <w:bCs/>
          <w:color w:val="000000"/>
          <w:szCs w:val="21"/>
        </w:rPr>
        <w:t>六、协议解除及违约责任</w:t>
      </w:r>
    </w:p>
    <w:p>
      <w:pPr>
        <w:spacing w:line="440" w:lineRule="exact"/>
        <w:ind w:firstLine="420" w:firstLineChars="200"/>
        <w:rPr>
          <w:color w:val="000000"/>
          <w:szCs w:val="21"/>
        </w:rPr>
      </w:pPr>
      <w:r>
        <w:rPr>
          <w:rFonts w:hint="eastAsia"/>
          <w:color w:val="000000"/>
          <w:szCs w:val="21"/>
        </w:rPr>
        <w:t>1、因乙方未按期履行义务，或因乙方原因导致</w:t>
      </w:r>
      <w:r>
        <w:rPr>
          <w:rFonts w:hint="eastAsia"/>
          <w:color w:val="000000"/>
          <w:szCs w:val="21"/>
          <w:lang w:val="en-US" w:eastAsia="zh-CN"/>
        </w:rPr>
        <w:t>展览</w:t>
      </w:r>
      <w:r>
        <w:rPr>
          <w:rFonts w:hint="eastAsia"/>
          <w:color w:val="000000"/>
          <w:szCs w:val="21"/>
        </w:rPr>
        <w:t>活动不能按期推进的，甲方有权解除本协议，且双方均不承担违约责任。</w:t>
      </w:r>
    </w:p>
    <w:p>
      <w:pPr>
        <w:spacing w:line="440" w:lineRule="exact"/>
        <w:ind w:firstLine="420" w:firstLineChars="200"/>
        <w:rPr>
          <w:color w:val="000000"/>
          <w:szCs w:val="21"/>
        </w:rPr>
      </w:pPr>
      <w:r>
        <w:rPr>
          <w:rFonts w:hint="eastAsia"/>
          <w:color w:val="000000"/>
          <w:szCs w:val="21"/>
        </w:rPr>
        <w:t>2、因甲方未按期履行义务，或因甲方原因导致</w:t>
      </w:r>
      <w:r>
        <w:rPr>
          <w:rFonts w:hint="eastAsia"/>
          <w:color w:val="000000"/>
          <w:szCs w:val="21"/>
          <w:lang w:val="en-US" w:eastAsia="zh-CN"/>
        </w:rPr>
        <w:t>展览</w:t>
      </w:r>
      <w:r>
        <w:rPr>
          <w:rFonts w:hint="eastAsia"/>
          <w:color w:val="000000"/>
          <w:szCs w:val="21"/>
        </w:rPr>
        <w:t>活动不能按期推进的，乙方有权解除本协议，且双方均不承担违约责任。</w:t>
      </w:r>
    </w:p>
    <w:p>
      <w:pPr>
        <w:spacing w:line="440" w:lineRule="exact"/>
        <w:ind w:firstLine="420" w:firstLineChars="200"/>
        <w:rPr>
          <w:color w:val="000000"/>
          <w:szCs w:val="21"/>
        </w:rPr>
      </w:pPr>
      <w:r>
        <w:rPr>
          <w:rFonts w:hint="eastAsia"/>
          <w:color w:val="000000"/>
          <w:szCs w:val="21"/>
        </w:rPr>
        <w:t xml:space="preserve">3、因战乱、自然灾害、疫情、政府重大调整等不可抗拒力导致合同不能履行或部分不能履行时，双方均不构成违约。 </w:t>
      </w:r>
    </w:p>
    <w:p>
      <w:pPr>
        <w:spacing w:line="440" w:lineRule="exact"/>
        <w:ind w:firstLine="420" w:firstLineChars="200"/>
        <w:rPr>
          <w:color w:val="000000"/>
          <w:szCs w:val="21"/>
        </w:rPr>
      </w:pPr>
      <w:r>
        <w:rPr>
          <w:rFonts w:hint="eastAsia"/>
          <w:color w:val="000000"/>
          <w:szCs w:val="21"/>
        </w:rPr>
        <w:t>4、乙方如有下列违约行为，甲方有权解除本合同</w:t>
      </w:r>
      <w:r>
        <w:rPr>
          <w:rFonts w:hint="eastAsia"/>
          <w:color w:val="000000"/>
          <w:szCs w:val="21"/>
          <w:lang w:val="en-US" w:eastAsia="zh-CN"/>
        </w:rPr>
        <w:t>且</w:t>
      </w:r>
      <w:r>
        <w:rPr>
          <w:rFonts w:hint="eastAsia"/>
          <w:color w:val="000000"/>
          <w:szCs w:val="21"/>
        </w:rPr>
        <w:t>不支付乙方任何费用，并且有权要求乙方支付本合同总额50%的违约金，若违约金不足以弥补损失的，则乙方按照甲方所受损失据实赔偿。</w:t>
      </w:r>
    </w:p>
    <w:p>
      <w:pPr>
        <w:spacing w:line="440" w:lineRule="exact"/>
        <w:ind w:firstLine="420" w:firstLineChars="200"/>
        <w:rPr>
          <w:color w:val="000000"/>
          <w:szCs w:val="21"/>
        </w:rPr>
      </w:pPr>
      <w:r>
        <w:rPr>
          <w:rFonts w:hint="eastAsia"/>
          <w:color w:val="000000"/>
          <w:szCs w:val="21"/>
        </w:rPr>
        <w:t>1)未按合同约定的项目组织搭建,施工。</w:t>
      </w:r>
    </w:p>
    <w:p>
      <w:pPr>
        <w:spacing w:line="440" w:lineRule="exact"/>
        <w:ind w:firstLine="420" w:firstLineChars="200"/>
        <w:rPr>
          <w:color w:val="000000"/>
          <w:szCs w:val="21"/>
        </w:rPr>
      </w:pPr>
      <w:r>
        <w:rPr>
          <w:rFonts w:hint="eastAsia"/>
          <w:color w:val="000000"/>
          <w:szCs w:val="21"/>
        </w:rPr>
        <w:t>2)如因乙方原因而引起的重大</w:t>
      </w:r>
      <w:r>
        <w:rPr>
          <w:rFonts w:hint="eastAsia"/>
          <w:color w:val="000000"/>
          <w:szCs w:val="21"/>
          <w:lang w:val="en-US" w:eastAsia="zh-CN"/>
        </w:rPr>
        <w:t>展览活动</w:t>
      </w:r>
      <w:r>
        <w:rPr>
          <w:rFonts w:hint="eastAsia"/>
          <w:color w:val="000000"/>
          <w:szCs w:val="21"/>
        </w:rPr>
        <w:t>失误</w:t>
      </w:r>
      <w:r>
        <w:rPr>
          <w:rFonts w:hint="eastAsia"/>
          <w:color w:val="000000"/>
          <w:szCs w:val="21"/>
          <w:lang w:val="en-US" w:eastAsia="zh-CN"/>
        </w:rPr>
        <w:t>或安全事故</w:t>
      </w:r>
      <w:r>
        <w:rPr>
          <w:rFonts w:hint="eastAsia"/>
          <w:color w:val="000000"/>
          <w:szCs w:val="21"/>
        </w:rPr>
        <w:t>的。</w:t>
      </w:r>
    </w:p>
    <w:p>
      <w:pPr>
        <w:spacing w:line="440" w:lineRule="exact"/>
        <w:ind w:firstLine="420" w:firstLineChars="200"/>
        <w:rPr>
          <w:color w:val="000000"/>
          <w:szCs w:val="21"/>
        </w:rPr>
      </w:pPr>
      <w:r>
        <w:rPr>
          <w:rFonts w:hint="eastAsia"/>
          <w:color w:val="000000"/>
          <w:szCs w:val="21"/>
        </w:rPr>
        <w:t>3)除不可抗力因素外，未按合同约定时间搭建、撤除完成以致给甲方带来影响的。</w:t>
      </w:r>
    </w:p>
    <w:p>
      <w:pPr>
        <w:spacing w:line="440" w:lineRule="exact"/>
        <w:ind w:firstLine="420" w:firstLineChars="200"/>
        <w:rPr>
          <w:color w:val="000000"/>
          <w:szCs w:val="21"/>
        </w:rPr>
      </w:pPr>
      <w:r>
        <w:rPr>
          <w:rFonts w:hint="eastAsia"/>
          <w:color w:val="000000"/>
          <w:szCs w:val="21"/>
        </w:rPr>
        <w:t>4)乙方无正当理由提前解除本合同的。</w:t>
      </w:r>
    </w:p>
    <w:p>
      <w:pPr>
        <w:spacing w:line="440" w:lineRule="exact"/>
        <w:ind w:firstLine="420" w:firstLineChars="200"/>
        <w:rPr>
          <w:color w:val="000000"/>
          <w:szCs w:val="21"/>
        </w:rPr>
      </w:pPr>
      <w:r>
        <w:rPr>
          <w:rFonts w:hint="eastAsia"/>
          <w:color w:val="000000"/>
          <w:szCs w:val="21"/>
        </w:rPr>
        <w:t>5)本</w:t>
      </w:r>
      <w:r>
        <w:rPr>
          <w:rFonts w:hint="eastAsia"/>
          <w:color w:val="000000"/>
          <w:szCs w:val="21"/>
          <w:lang w:val="en-US" w:eastAsia="zh-CN"/>
        </w:rPr>
        <w:t>展览</w:t>
      </w:r>
      <w:r>
        <w:rPr>
          <w:rFonts w:hint="eastAsia"/>
          <w:color w:val="000000"/>
          <w:szCs w:val="21"/>
        </w:rPr>
        <w:t>活动结束时未按照甲方的要求恢复场地原状。</w:t>
      </w:r>
    </w:p>
    <w:p>
      <w:pPr>
        <w:spacing w:line="440" w:lineRule="exact"/>
        <w:ind w:firstLine="420" w:firstLineChars="200"/>
        <w:rPr>
          <w:color w:val="000000"/>
          <w:szCs w:val="21"/>
        </w:rPr>
      </w:pPr>
      <w:r>
        <w:rPr>
          <w:rFonts w:hint="eastAsia"/>
          <w:color w:val="000000"/>
          <w:szCs w:val="21"/>
        </w:rPr>
        <w:t>6)其它违反本合同约定的行为。</w:t>
      </w:r>
    </w:p>
    <w:p>
      <w:pPr>
        <w:spacing w:line="440" w:lineRule="exact"/>
        <w:ind w:firstLine="420" w:firstLineChars="200"/>
        <w:rPr>
          <w:color w:val="000000"/>
          <w:szCs w:val="21"/>
        </w:rPr>
      </w:pPr>
      <w:r>
        <w:rPr>
          <w:rFonts w:hint="eastAsia"/>
          <w:color w:val="000000"/>
          <w:szCs w:val="21"/>
        </w:rPr>
        <w:t>5、甲方将根据乙方</w:t>
      </w:r>
      <w:r>
        <w:rPr>
          <w:rFonts w:hint="eastAsia"/>
          <w:color w:val="000000"/>
          <w:szCs w:val="21"/>
          <w:lang w:val="en-US" w:eastAsia="zh-CN"/>
        </w:rPr>
        <w:t>完成展览</w:t>
      </w:r>
      <w:r>
        <w:rPr>
          <w:rFonts w:hint="eastAsia"/>
          <w:color w:val="000000"/>
          <w:szCs w:val="21"/>
        </w:rPr>
        <w:t>活动执行</w:t>
      </w:r>
      <w:r>
        <w:rPr>
          <w:rFonts w:hint="eastAsia"/>
          <w:color w:val="000000"/>
          <w:szCs w:val="21"/>
          <w:lang w:val="en-US" w:eastAsia="zh-CN"/>
        </w:rPr>
        <w:t>的</w:t>
      </w:r>
      <w:r>
        <w:rPr>
          <w:rFonts w:hint="eastAsia"/>
          <w:color w:val="000000"/>
          <w:szCs w:val="21"/>
        </w:rPr>
        <w:t>实际情况，包括但不限于未达到甲方目的、因乙方原因导致</w:t>
      </w:r>
      <w:r>
        <w:rPr>
          <w:rFonts w:hint="eastAsia"/>
          <w:color w:val="000000"/>
          <w:szCs w:val="21"/>
          <w:lang w:val="en-US" w:eastAsia="zh-CN"/>
        </w:rPr>
        <w:t>展览</w:t>
      </w:r>
      <w:r>
        <w:rPr>
          <w:rFonts w:hint="eastAsia"/>
          <w:color w:val="000000"/>
          <w:szCs w:val="21"/>
        </w:rPr>
        <w:t>活动延迟或者安全事故等情况，甲方有权在最终结算予以扣减相应费用。</w:t>
      </w:r>
    </w:p>
    <w:p>
      <w:pPr>
        <w:spacing w:line="360" w:lineRule="auto"/>
        <w:rPr>
          <w:b/>
          <w:color w:val="000000"/>
          <w:szCs w:val="21"/>
        </w:rPr>
      </w:pPr>
      <w:r>
        <w:rPr>
          <w:rFonts w:hint="eastAsia"/>
          <w:b/>
          <w:color w:val="000000"/>
          <w:szCs w:val="21"/>
        </w:rPr>
        <w:t>七、其他条款</w:t>
      </w:r>
    </w:p>
    <w:p>
      <w:pPr>
        <w:spacing w:line="360" w:lineRule="auto"/>
        <w:ind w:firstLine="420" w:firstLineChars="200"/>
        <w:rPr>
          <w:bCs/>
          <w:color w:val="000000"/>
          <w:szCs w:val="21"/>
        </w:rPr>
      </w:pPr>
      <w:r>
        <w:rPr>
          <w:rFonts w:hint="eastAsia"/>
          <w:bCs/>
          <w:color w:val="000000"/>
          <w:szCs w:val="21"/>
        </w:rPr>
        <w:t>1、合同生效及其效力应符合《中华人民共和国民法典》有关规定。</w:t>
      </w:r>
    </w:p>
    <w:p>
      <w:pPr>
        <w:spacing w:line="360" w:lineRule="auto"/>
        <w:rPr>
          <w:color w:val="000000"/>
          <w:szCs w:val="21"/>
        </w:rPr>
      </w:pPr>
      <w:r>
        <w:rPr>
          <w:rFonts w:hint="eastAsia"/>
          <w:color w:val="000000"/>
          <w:szCs w:val="21"/>
        </w:rPr>
        <w:t xml:space="preserve">    </w:t>
      </w:r>
      <w:r>
        <w:rPr>
          <w:color w:val="000000"/>
          <w:szCs w:val="21"/>
        </w:rPr>
        <w:t>2</w:t>
      </w:r>
      <w:r>
        <w:rPr>
          <w:rFonts w:hint="eastAsia"/>
          <w:color w:val="000000"/>
          <w:szCs w:val="21"/>
        </w:rPr>
        <w:t>、本合同壹式肆份，甲方执贰份，乙方执贰份，双方签字盖章即生效，具有同等法律效力。</w:t>
      </w:r>
    </w:p>
    <w:p>
      <w:pPr>
        <w:spacing w:line="360" w:lineRule="auto"/>
        <w:ind w:firstLine="420" w:firstLineChars="200"/>
        <w:rPr>
          <w:color w:val="000000"/>
          <w:szCs w:val="21"/>
        </w:rPr>
      </w:pPr>
      <w:r>
        <w:rPr>
          <w:color w:val="000000"/>
          <w:szCs w:val="21"/>
        </w:rPr>
        <w:t>3</w:t>
      </w:r>
      <w:r>
        <w:rPr>
          <w:rFonts w:hint="eastAsia"/>
          <w:color w:val="000000"/>
          <w:szCs w:val="21"/>
        </w:rPr>
        <w:t>、执行本合同发生争议时，由双方协商解决，在60天内甲乙双方协商不能达成协议的，任何一方可向甲方所在地有管辖权的人民法院提请诉讼解决。</w:t>
      </w:r>
    </w:p>
    <w:p>
      <w:pPr>
        <w:spacing w:line="360" w:lineRule="auto"/>
        <w:ind w:firstLine="420" w:firstLineChars="200"/>
        <w:rPr>
          <w:color w:val="000000"/>
          <w:szCs w:val="21"/>
        </w:rPr>
      </w:pPr>
      <w:r>
        <w:rPr>
          <w:rFonts w:hint="eastAsia"/>
          <w:color w:val="000000"/>
          <w:szCs w:val="21"/>
        </w:rPr>
        <w:t>4、合同所包括附件如下，是合同不可分割的一部分，具有同等法法律效力：附件一 《比选时确认的</w:t>
      </w:r>
      <w:r>
        <w:rPr>
          <w:rFonts w:hint="eastAsia"/>
          <w:color w:val="000000"/>
          <w:szCs w:val="21"/>
          <w:lang w:val="en-US" w:eastAsia="zh-CN"/>
        </w:rPr>
        <w:t>成交执行清单</w:t>
      </w:r>
      <w:r>
        <w:rPr>
          <w:rFonts w:hint="eastAsia"/>
          <w:color w:val="000000"/>
          <w:szCs w:val="21"/>
        </w:rPr>
        <w:t>明细表》。</w:t>
      </w:r>
    </w:p>
    <w:p>
      <w:pPr>
        <w:spacing w:line="360" w:lineRule="auto"/>
        <w:ind w:firstLine="420" w:firstLineChars="200"/>
        <w:rPr>
          <w:color w:val="000000"/>
          <w:szCs w:val="21"/>
        </w:rPr>
      </w:pPr>
      <w:r>
        <w:rPr>
          <w:color w:val="000000"/>
          <w:szCs w:val="21"/>
        </w:rPr>
        <w:t>5</w:t>
      </w:r>
      <w:r>
        <w:rPr>
          <w:rFonts w:hint="eastAsia"/>
          <w:color w:val="000000"/>
          <w:szCs w:val="21"/>
        </w:rPr>
        <w:t>、本合同条件未尽事宜依照《中华人民共和国民法典》，由两方共同协商确定。</w:t>
      </w:r>
    </w:p>
    <w:p>
      <w:pPr>
        <w:spacing w:line="360" w:lineRule="auto"/>
        <w:ind w:firstLine="420" w:firstLineChars="200"/>
        <w:jc w:val="center"/>
        <w:rPr>
          <w:color w:val="000000"/>
          <w:szCs w:val="21"/>
        </w:rPr>
      </w:pPr>
      <w:r>
        <w:rPr>
          <w:rFonts w:hint="eastAsia"/>
          <w:color w:val="000000"/>
          <w:szCs w:val="21"/>
        </w:rPr>
        <w:t>（以下无正文）</w:t>
      </w:r>
    </w:p>
    <w:p>
      <w:pPr>
        <w:spacing w:line="360" w:lineRule="auto"/>
        <w:ind w:firstLine="420" w:firstLineChars="200"/>
        <w:jc w:val="center"/>
        <w:rPr>
          <w:color w:val="000000"/>
          <w:szCs w:val="21"/>
        </w:rPr>
      </w:pPr>
      <w:r>
        <w:rPr>
          <w:rFonts w:hint="eastAsia"/>
          <w:color w:val="000000"/>
          <w:szCs w:val="21"/>
        </w:rPr>
        <w:t>（以上无正文）</w:t>
      </w:r>
    </w:p>
    <w:p>
      <w:pPr>
        <w:spacing w:line="360" w:lineRule="auto"/>
        <w:rPr>
          <w:color w:val="000000"/>
          <w:szCs w:val="21"/>
        </w:rPr>
      </w:pPr>
    </w:p>
    <w:p>
      <w:pPr>
        <w:spacing w:line="360" w:lineRule="auto"/>
        <w:rPr>
          <w:color w:val="000000"/>
          <w:szCs w:val="21"/>
        </w:rPr>
      </w:pPr>
      <w:r>
        <w:rPr>
          <w:rFonts w:hint="eastAsia"/>
          <w:color w:val="000000"/>
          <w:szCs w:val="21"/>
        </w:rPr>
        <w:t xml:space="preserve">甲    方：重庆山水城文化旅游发展有限公司                      </w:t>
      </w:r>
    </w:p>
    <w:p>
      <w:pPr>
        <w:spacing w:line="360" w:lineRule="auto"/>
        <w:rPr>
          <w:color w:val="000000"/>
          <w:szCs w:val="21"/>
        </w:rPr>
      </w:pPr>
      <w:r>
        <w:rPr>
          <w:rFonts w:hint="eastAsia"/>
          <w:color w:val="000000"/>
          <w:szCs w:val="21"/>
        </w:rPr>
        <w:t>法定代表人（授权委托人）：</w:t>
      </w:r>
    </w:p>
    <w:p>
      <w:pPr>
        <w:spacing w:line="360" w:lineRule="auto"/>
        <w:rPr>
          <w:color w:val="000000"/>
          <w:szCs w:val="21"/>
        </w:rPr>
      </w:pPr>
    </w:p>
    <w:p>
      <w:pPr>
        <w:spacing w:line="360" w:lineRule="auto"/>
        <w:rPr>
          <w:rFonts w:hint="default" w:eastAsia="宋体"/>
          <w:color w:val="000000"/>
          <w:szCs w:val="21"/>
          <w:lang w:val="en-US" w:eastAsia="zh-CN"/>
        </w:rPr>
      </w:pPr>
      <w:r>
        <w:rPr>
          <w:rFonts w:hint="eastAsia"/>
          <w:color w:val="000000"/>
          <w:szCs w:val="21"/>
        </w:rPr>
        <w:t>经 办 人：                  经办部门负责人：</w:t>
      </w:r>
      <w:r>
        <w:rPr>
          <w:rFonts w:hint="eastAsia"/>
          <w:color w:val="000000"/>
          <w:szCs w:val="21"/>
          <w:lang w:val="en-US" w:eastAsia="zh-CN"/>
        </w:rPr>
        <w:t xml:space="preserve">           分管领导：</w:t>
      </w:r>
    </w:p>
    <w:p>
      <w:pPr>
        <w:spacing w:line="360" w:lineRule="auto"/>
        <w:rPr>
          <w:color w:val="000000"/>
          <w:szCs w:val="21"/>
        </w:rPr>
      </w:pPr>
      <w:r>
        <w:rPr>
          <w:rFonts w:hint="eastAsia"/>
          <w:color w:val="000000"/>
          <w:szCs w:val="21"/>
        </w:rPr>
        <w:t>电    话：                  电子邮件：</w:t>
      </w:r>
    </w:p>
    <w:p>
      <w:pPr>
        <w:spacing w:line="360" w:lineRule="auto"/>
        <w:rPr>
          <w:color w:val="000000"/>
          <w:szCs w:val="21"/>
        </w:rPr>
      </w:pPr>
      <w:r>
        <w:rPr>
          <w:rFonts w:hint="eastAsia"/>
          <w:color w:val="000000"/>
          <w:szCs w:val="21"/>
        </w:rPr>
        <w:t xml:space="preserve">送达地址：                  邮政编码：          </w:t>
      </w:r>
    </w:p>
    <w:p>
      <w:pPr>
        <w:spacing w:line="360" w:lineRule="auto"/>
        <w:rPr>
          <w:color w:val="000000"/>
          <w:szCs w:val="21"/>
        </w:rPr>
      </w:pPr>
      <w:r>
        <w:rPr>
          <w:rFonts w:hint="eastAsia"/>
          <w:color w:val="000000"/>
          <w:szCs w:val="21"/>
        </w:rPr>
        <w:t>签订时间：</w:t>
      </w:r>
    </w:p>
    <w:p>
      <w:pPr>
        <w:spacing w:line="360" w:lineRule="auto"/>
        <w:rPr>
          <w:color w:val="000000"/>
          <w:szCs w:val="21"/>
        </w:rPr>
      </w:pPr>
      <w:r>
        <w:rPr>
          <w:color w:val="000000"/>
          <w:szCs w:val="21"/>
        </w:rPr>
        <w:t xml:space="preserve"> </w:t>
      </w:r>
    </w:p>
    <w:p>
      <w:pPr>
        <w:spacing w:line="360" w:lineRule="auto"/>
        <w:rPr>
          <w:color w:val="000000"/>
          <w:szCs w:val="21"/>
        </w:rPr>
      </w:pPr>
      <w:r>
        <w:rPr>
          <w:rFonts w:hint="eastAsia"/>
          <w:color w:val="000000"/>
          <w:szCs w:val="21"/>
        </w:rPr>
        <w:t xml:space="preserve">乙   方：                  </w:t>
      </w:r>
    </w:p>
    <w:p>
      <w:pPr>
        <w:spacing w:line="360" w:lineRule="auto"/>
        <w:rPr>
          <w:color w:val="000000"/>
          <w:szCs w:val="21"/>
        </w:rPr>
      </w:pPr>
      <w:r>
        <w:rPr>
          <w:rFonts w:hint="eastAsia"/>
          <w:color w:val="000000"/>
          <w:szCs w:val="21"/>
        </w:rPr>
        <w:t>法定代表人（授权委托人）：</w:t>
      </w:r>
    </w:p>
    <w:p>
      <w:pPr>
        <w:spacing w:line="360" w:lineRule="auto"/>
        <w:rPr>
          <w:color w:val="000000"/>
          <w:szCs w:val="21"/>
        </w:rPr>
      </w:pPr>
    </w:p>
    <w:p>
      <w:pPr>
        <w:spacing w:line="360" w:lineRule="auto"/>
        <w:rPr>
          <w:color w:val="000000"/>
          <w:szCs w:val="21"/>
        </w:rPr>
      </w:pPr>
      <w:r>
        <w:rPr>
          <w:rFonts w:hint="eastAsia"/>
          <w:color w:val="000000"/>
          <w:szCs w:val="21"/>
        </w:rPr>
        <w:t>经 办 人：                  经办部门负责人：</w:t>
      </w:r>
    </w:p>
    <w:p>
      <w:pPr>
        <w:spacing w:line="360" w:lineRule="auto"/>
        <w:rPr>
          <w:color w:val="000000"/>
          <w:szCs w:val="21"/>
        </w:rPr>
      </w:pPr>
      <w:r>
        <w:rPr>
          <w:rFonts w:hint="eastAsia"/>
          <w:color w:val="000000"/>
          <w:szCs w:val="21"/>
        </w:rPr>
        <w:t>电    话：                  电子邮件：</w:t>
      </w:r>
    </w:p>
    <w:p>
      <w:pPr>
        <w:spacing w:line="360" w:lineRule="auto"/>
        <w:rPr>
          <w:color w:val="000000"/>
          <w:szCs w:val="21"/>
        </w:rPr>
      </w:pPr>
      <w:r>
        <w:rPr>
          <w:rFonts w:hint="eastAsia"/>
          <w:color w:val="000000"/>
          <w:szCs w:val="21"/>
        </w:rPr>
        <w:t xml:space="preserve">送达地址：                  邮政编码：      </w:t>
      </w:r>
    </w:p>
    <w:p>
      <w:pPr>
        <w:spacing w:line="360" w:lineRule="auto"/>
        <w:rPr>
          <w:color w:val="000000"/>
          <w:szCs w:val="21"/>
        </w:rPr>
      </w:pPr>
      <w:r>
        <w:rPr>
          <w:rFonts w:hint="eastAsia"/>
          <w:color w:val="000000"/>
          <w:szCs w:val="21"/>
        </w:rPr>
        <w:t>签订时间：</w:t>
      </w: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r>
        <w:rPr>
          <w:rFonts w:hint="eastAsia"/>
          <w:color w:val="000000"/>
          <w:szCs w:val="21"/>
        </w:rPr>
        <w:t>附件：《比选时确认的成交</w:t>
      </w:r>
      <w:r>
        <w:rPr>
          <w:rFonts w:hint="eastAsia"/>
          <w:color w:val="000000"/>
          <w:szCs w:val="21"/>
          <w:lang w:val="en-US" w:eastAsia="zh-CN"/>
        </w:rPr>
        <w:t>执行清单</w:t>
      </w:r>
      <w:r>
        <w:rPr>
          <w:rFonts w:hint="eastAsia"/>
          <w:color w:val="000000"/>
          <w:szCs w:val="21"/>
        </w:rPr>
        <w:t>明细表》</w:t>
      </w:r>
    </w:p>
    <w:p>
      <w:pPr>
        <w:tabs>
          <w:tab w:val="left" w:pos="4320"/>
        </w:tabs>
        <w:spacing w:line="480" w:lineRule="auto"/>
        <w:rPr>
          <w:rFonts w:hint="default" w:eastAsia="宋体"/>
          <w:color w:val="000000"/>
          <w:szCs w:val="21"/>
          <w:lang w:val="en-US" w:eastAsia="zh-CN"/>
        </w:rPr>
      </w:pPr>
      <w:r>
        <w:rPr>
          <w:rFonts w:hint="eastAsia"/>
          <w:color w:val="000000"/>
          <w:szCs w:val="21"/>
          <w:lang w:val="en-US" w:eastAsia="zh-CN"/>
        </w:rPr>
        <w:t>中选单位的报价函附件确定的执行清单及报价为成交执行清单明细表</w:t>
      </w:r>
    </w:p>
    <w:p>
      <w:pPr>
        <w:rPr>
          <w:color w:val="auto"/>
          <w:highlight w:val="none"/>
        </w:rPr>
      </w:pPr>
    </w:p>
    <w:p>
      <w:pPr>
        <w:pStyle w:val="43"/>
        <w:rPr>
          <w:rFonts w:hint="eastAsia" w:ascii="宋体" w:hAnsi="宋体"/>
          <w:color w:val="auto"/>
          <w:szCs w:val="21"/>
          <w:highlight w:val="none"/>
        </w:rPr>
      </w:pPr>
    </w:p>
    <w:p>
      <w:pPr>
        <w:rPr>
          <w:rFonts w:hint="eastAsia" w:ascii="宋体" w:hAnsi="宋体"/>
          <w:color w:val="auto"/>
          <w:szCs w:val="21"/>
          <w:highlight w:val="none"/>
        </w:rPr>
      </w:pPr>
    </w:p>
    <w:p>
      <w:pPr>
        <w:pStyle w:val="3"/>
        <w:numPr>
          <w:ilvl w:val="0"/>
          <w:numId w:val="0"/>
        </w:numPr>
        <w:bidi w:val="0"/>
        <w:ind w:firstLine="2200" w:firstLineChars="500"/>
        <w:jc w:val="both"/>
        <w:rPr>
          <w:rFonts w:hint="default" w:eastAsia="黑体"/>
          <w:color w:val="auto"/>
          <w:highlight w:val="none"/>
          <w:lang w:val="en-US" w:eastAsia="zh-CN"/>
        </w:rPr>
      </w:pPr>
      <w:bookmarkStart w:id="67" w:name="_Toc13029"/>
      <w:r>
        <w:rPr>
          <w:rFonts w:hint="eastAsia"/>
          <w:color w:val="auto"/>
          <w:highlight w:val="none"/>
          <w:lang w:val="en-US" w:eastAsia="zh-CN"/>
        </w:rPr>
        <w:t>第五章  执行</w:t>
      </w:r>
      <w:r>
        <w:rPr>
          <w:rFonts w:hint="eastAsia"/>
          <w:color w:val="auto"/>
          <w:highlight w:val="none"/>
        </w:rPr>
        <w:t>清单</w:t>
      </w:r>
      <w:bookmarkEnd w:id="67"/>
      <w:r>
        <w:rPr>
          <w:rFonts w:hint="eastAsia"/>
          <w:color w:val="auto"/>
          <w:highlight w:val="none"/>
          <w:lang w:val="en-US" w:eastAsia="zh-CN"/>
        </w:rPr>
        <w:t>及方案</w:t>
      </w:r>
    </w:p>
    <w:p>
      <w:pPr>
        <w:pStyle w:val="5"/>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参选</w:t>
      </w:r>
      <w:r>
        <w:rPr>
          <w:rFonts w:hint="eastAsia" w:ascii="宋体" w:hAnsi="宋体" w:eastAsia="宋体" w:cs="宋体"/>
          <w:b w:val="0"/>
          <w:bCs/>
          <w:color w:val="auto"/>
          <w:sz w:val="21"/>
          <w:szCs w:val="21"/>
          <w:highlight w:val="none"/>
        </w:rPr>
        <w:t>人“</w:t>
      </w:r>
      <w:r>
        <w:rPr>
          <w:rFonts w:hint="eastAsia" w:ascii="宋体" w:hAnsi="宋体" w:eastAsia="宋体" w:cs="宋体"/>
          <w:b w:val="0"/>
          <w:bCs/>
          <w:color w:val="auto"/>
          <w:sz w:val="21"/>
          <w:szCs w:val="21"/>
          <w:highlight w:val="none"/>
          <w:lang w:val="en-US" w:eastAsia="zh-CN"/>
        </w:rPr>
        <w:t>重庆山水城文化旅游发展有限公司</w:t>
      </w:r>
      <w:r>
        <w:rPr>
          <w:rFonts w:hint="eastAsia" w:ascii="宋体" w:hAnsi="宋体" w:eastAsia="宋体" w:cs="宋体"/>
          <w:b w:val="0"/>
          <w:bCs/>
          <w:color w:val="auto"/>
          <w:sz w:val="21"/>
          <w:szCs w:val="21"/>
          <w:highlight w:val="none"/>
        </w:rPr>
        <w:t>”网站（</w:t>
      </w:r>
      <w:r>
        <w:rPr>
          <w:rFonts w:hint="eastAsia" w:ascii="宋体" w:hAnsi="宋体" w:eastAsia="宋体" w:cs="宋体"/>
          <w:b w:val="0"/>
          <w:bCs/>
          <w:color w:val="auto"/>
          <w:sz w:val="21"/>
          <w:szCs w:val="21"/>
          <w:highlight w:val="none"/>
          <w:lang w:eastAsia="zh-CN"/>
        </w:rPr>
        <w:t>http://www.cqsswl.com/</w:t>
      </w:r>
      <w:r>
        <w:rPr>
          <w:rFonts w:hint="eastAsia" w:ascii="宋体" w:hAnsi="宋体" w:eastAsia="宋体" w:cs="宋体"/>
          <w:b w:val="0"/>
          <w:bCs/>
          <w:color w:val="auto"/>
          <w:sz w:val="21"/>
          <w:szCs w:val="21"/>
          <w:highlight w:val="none"/>
        </w:rPr>
        <w:t>）上自行下载本项目</w:t>
      </w:r>
      <w:r>
        <w:rPr>
          <w:rFonts w:hint="eastAsia" w:ascii="宋体" w:hAnsi="宋体" w:eastAsia="宋体" w:cs="宋体"/>
          <w:b w:val="0"/>
          <w:bCs/>
          <w:color w:val="auto"/>
          <w:sz w:val="21"/>
          <w:szCs w:val="21"/>
          <w:highlight w:val="none"/>
          <w:lang w:val="en-US" w:eastAsia="zh-CN"/>
        </w:rPr>
        <w:t>执行清单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重庆儿童公园光影艺术展览方案、</w:t>
      </w:r>
      <w:r>
        <w:rPr>
          <w:rFonts w:hint="eastAsia" w:ascii="宋体" w:hAnsi="宋体" w:eastAsia="宋体" w:cs="宋体"/>
          <w:b w:val="0"/>
          <w:bCs/>
          <w:color w:val="auto"/>
          <w:sz w:val="21"/>
          <w:szCs w:val="21"/>
          <w:highlight w:val="none"/>
        </w:rPr>
        <w:t>澄清和修改等全部内容，不管下载与否都视为潜在比选人全部知晓有关全部内容。</w:t>
      </w: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pStyle w:val="43"/>
        <w:rPr>
          <w:rFonts w:hint="eastAsia"/>
          <w:color w:val="auto"/>
          <w:highlight w:val="none"/>
        </w:rPr>
      </w:pPr>
    </w:p>
    <w:p>
      <w:pPr>
        <w:rPr>
          <w:rFonts w:hint="eastAsia" w:ascii="宋体" w:hAnsi="宋体" w:eastAsia="宋体" w:cs="宋体"/>
          <w:b w:val="0"/>
          <w:bCs/>
          <w:color w:val="auto"/>
          <w:sz w:val="21"/>
          <w:szCs w:val="21"/>
          <w:highlight w:val="none"/>
        </w:rPr>
      </w:pPr>
    </w:p>
    <w:p>
      <w:pPr>
        <w:pStyle w:val="21"/>
        <w:rPr>
          <w:rFonts w:hint="eastAsia" w:ascii="宋体" w:hAnsi="宋体" w:eastAsia="宋体" w:cs="宋体"/>
          <w:b w:val="0"/>
          <w:bCs/>
          <w:color w:val="auto"/>
          <w:sz w:val="21"/>
          <w:szCs w:val="21"/>
          <w:highlight w:val="none"/>
        </w:rPr>
      </w:pPr>
    </w:p>
    <w:p>
      <w:pPr>
        <w:rPr>
          <w:rFonts w:hint="eastAsia" w:ascii="宋体" w:hAnsi="宋体" w:eastAsia="宋体" w:cs="宋体"/>
          <w:b w:val="0"/>
          <w:bCs/>
          <w:color w:val="auto"/>
          <w:sz w:val="21"/>
          <w:szCs w:val="21"/>
          <w:highlight w:val="none"/>
        </w:rPr>
      </w:pPr>
    </w:p>
    <w:p>
      <w:pPr>
        <w:pStyle w:val="21"/>
        <w:rPr>
          <w:rFonts w:hint="eastAsia"/>
          <w:color w:val="auto"/>
          <w:highlight w:val="none"/>
        </w:rPr>
      </w:pPr>
    </w:p>
    <w:p>
      <w:pPr>
        <w:pStyle w:val="3"/>
        <w:numPr>
          <w:ilvl w:val="0"/>
          <w:numId w:val="0"/>
        </w:numPr>
        <w:bidi w:val="0"/>
        <w:ind w:firstLine="3080" w:firstLineChars="700"/>
        <w:jc w:val="left"/>
        <w:rPr>
          <w:color w:val="auto"/>
          <w:highlight w:val="none"/>
        </w:rPr>
      </w:pPr>
      <w:bookmarkStart w:id="68" w:name="_Toc21615"/>
      <w:r>
        <w:rPr>
          <w:rFonts w:hint="eastAsia"/>
          <w:color w:val="auto"/>
          <w:highlight w:val="none"/>
          <w:lang w:val="en-US" w:eastAsia="zh-CN"/>
        </w:rPr>
        <w:t xml:space="preserve">第六章  </w:t>
      </w:r>
      <w:r>
        <w:rPr>
          <w:rFonts w:hint="eastAsia"/>
          <w:color w:val="auto"/>
          <w:highlight w:val="none"/>
          <w:lang w:eastAsia="zh-CN"/>
        </w:rPr>
        <w:t>参选</w:t>
      </w:r>
      <w:r>
        <w:rPr>
          <w:rFonts w:hint="eastAsia"/>
          <w:color w:val="auto"/>
          <w:highlight w:val="none"/>
        </w:rPr>
        <w:t>文件格式</w:t>
      </w:r>
      <w:bookmarkEnd w:id="29"/>
      <w:bookmarkEnd w:id="30"/>
      <w:bookmarkEnd w:id="68"/>
    </w:p>
    <w:p>
      <w:pPr>
        <w:tabs>
          <w:tab w:val="left" w:pos="2580"/>
          <w:tab w:val="left" w:pos="5940"/>
        </w:tabs>
        <w:autoSpaceDE w:val="0"/>
        <w:autoSpaceDN w:val="0"/>
        <w:adjustRightInd w:val="0"/>
        <w:snapToGrid w:val="0"/>
        <w:spacing w:line="360" w:lineRule="auto"/>
        <w:jc w:val="left"/>
        <w:outlineLvl w:val="2"/>
        <w:rPr>
          <w:rFonts w:hint="eastAsia" w:ascii="宋体" w:hAnsi="宋体" w:cs="MingLiU"/>
          <w:color w:val="auto"/>
          <w:kern w:val="0"/>
          <w:sz w:val="24"/>
          <w:highlight w:val="none"/>
        </w:rPr>
      </w:pPr>
    </w:p>
    <w:p>
      <w:pPr>
        <w:autoSpaceDE w:val="0"/>
        <w:autoSpaceDN w:val="0"/>
        <w:adjustRightInd w:val="0"/>
        <w:spacing w:before="9" w:line="313" w:lineRule="auto"/>
        <w:ind w:right="177" w:firstLine="464" w:firstLineChars="221"/>
        <w:rPr>
          <w:rFonts w:hint="eastAsia"/>
          <w:color w:val="auto"/>
          <w:szCs w:val="21"/>
          <w:highlight w:val="none"/>
        </w:rPr>
      </w:pPr>
    </w:p>
    <w:p>
      <w:pPr>
        <w:autoSpaceDE w:val="0"/>
        <w:autoSpaceDN w:val="0"/>
        <w:adjustRightInd w:val="0"/>
        <w:spacing w:before="9" w:line="313" w:lineRule="auto"/>
        <w:ind w:right="177" w:firstLine="464" w:firstLineChars="221"/>
        <w:rPr>
          <w:rFonts w:hint="eastAsia"/>
          <w:color w:val="auto"/>
          <w:szCs w:val="21"/>
          <w:highlight w:val="none"/>
        </w:rPr>
      </w:pPr>
    </w:p>
    <w:p>
      <w:pPr>
        <w:tabs>
          <w:tab w:val="left" w:pos="2580"/>
          <w:tab w:val="left" w:pos="5940"/>
        </w:tabs>
        <w:autoSpaceDE w:val="0"/>
        <w:autoSpaceDN w:val="0"/>
        <w:adjustRightInd w:val="0"/>
        <w:snapToGrid w:val="0"/>
        <w:spacing w:line="360" w:lineRule="auto"/>
        <w:jc w:val="left"/>
        <w:rPr>
          <w:rFonts w:hint="eastAsia" w:ascii="宋体" w:hAnsi="宋体"/>
          <w:color w:val="auto"/>
          <w:kern w:val="0"/>
          <w:sz w:val="28"/>
          <w:szCs w:val="28"/>
          <w:highlight w:val="none"/>
        </w:rPr>
      </w:pPr>
    </w:p>
    <w:p>
      <w:pPr>
        <w:pageBreakBefore/>
        <w:spacing w:line="360" w:lineRule="auto"/>
        <w:jc w:val="center"/>
        <w:outlineLvl w:val="1"/>
        <w:rPr>
          <w:rFonts w:hint="eastAsia" w:ascii="宋体" w:hAnsi="宋体"/>
          <w:color w:val="auto"/>
          <w:sz w:val="36"/>
          <w:szCs w:val="36"/>
          <w:highlight w:val="none"/>
        </w:rPr>
        <w:sectPr>
          <w:footerReference r:id="rId9" w:type="first"/>
          <w:footerReference r:id="rId8" w:type="default"/>
          <w:pgSz w:w="11906" w:h="16838"/>
          <w:pgMar w:top="1134" w:right="1134" w:bottom="1134" w:left="1134"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p>
    <w:p>
      <w:pPr>
        <w:pageBreakBefore/>
        <w:spacing w:line="360" w:lineRule="auto"/>
        <w:jc w:val="center"/>
        <w:outlineLvl w:val="1"/>
        <w:rPr>
          <w:rFonts w:ascii="宋体" w:hAnsi="宋体"/>
          <w:color w:val="auto"/>
          <w:sz w:val="36"/>
          <w:szCs w:val="36"/>
          <w:highlight w:val="none"/>
        </w:rPr>
      </w:pPr>
      <w:r>
        <w:rPr>
          <w:rFonts w:hint="eastAsia" w:ascii="宋体" w:hAnsi="宋体"/>
          <w:color w:val="auto"/>
          <w:sz w:val="36"/>
          <w:szCs w:val="36"/>
          <w:highlight w:val="none"/>
          <w:lang w:val="en-US" w:eastAsia="zh-CN"/>
        </w:rPr>
        <w:t>一</w:t>
      </w:r>
      <w:r>
        <w:rPr>
          <w:rFonts w:hint="eastAsia" w:ascii="宋体" w:hAnsi="宋体"/>
          <w:color w:val="auto"/>
          <w:sz w:val="36"/>
          <w:szCs w:val="36"/>
          <w:highlight w:val="none"/>
        </w:rPr>
        <w:t>、</w:t>
      </w:r>
      <w:r>
        <w:rPr>
          <w:rFonts w:hint="eastAsia" w:ascii="宋体" w:hAnsi="宋体"/>
          <w:color w:val="auto"/>
          <w:sz w:val="36"/>
          <w:szCs w:val="36"/>
          <w:highlight w:val="none"/>
          <w:lang w:eastAsia="zh-CN"/>
        </w:rPr>
        <w:t>参选</w:t>
      </w:r>
      <w:r>
        <w:rPr>
          <w:rFonts w:hint="eastAsia" w:ascii="宋体" w:hAnsi="宋体"/>
          <w:color w:val="auto"/>
          <w:sz w:val="36"/>
          <w:szCs w:val="36"/>
          <w:highlight w:val="none"/>
        </w:rPr>
        <w:t>函部分</w:t>
      </w:r>
    </w:p>
    <w:p>
      <w:pPr>
        <w:spacing w:line="360" w:lineRule="auto"/>
        <w:jc w:val="center"/>
        <w:rPr>
          <w:rFonts w:ascii="宋体" w:hAnsi="宋体"/>
          <w:color w:val="auto"/>
          <w:highlight w:val="none"/>
        </w:rPr>
      </w:pPr>
    </w:p>
    <w:p>
      <w:pPr>
        <w:ind w:firstLine="260"/>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pStyle w:val="21"/>
        <w:rPr>
          <w:color w:val="auto"/>
          <w:highlight w:val="none"/>
        </w:rPr>
      </w:pPr>
    </w:p>
    <w:p>
      <w:pPr>
        <w:rPr>
          <w:color w:val="auto"/>
          <w:highlight w:val="none"/>
        </w:rPr>
      </w:pPr>
    </w:p>
    <w:p>
      <w:pPr>
        <w:spacing w:line="360" w:lineRule="auto"/>
        <w:jc w:val="center"/>
        <w:rPr>
          <w:rFonts w:hint="eastAsia" w:ascii="宋体" w:hAnsi="宋体"/>
          <w:color w:val="auto"/>
          <w:kern w:val="0"/>
          <w:sz w:val="32"/>
          <w:szCs w:val="32"/>
          <w:highlight w:val="none"/>
          <w:u w:val="single"/>
        </w:rPr>
      </w:pPr>
    </w:p>
    <w:p>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w:t>
      </w:r>
      <w:r>
        <w:rPr>
          <w:rFonts w:hint="eastAsia" w:ascii="宋体" w:hAnsi="宋体"/>
          <w:color w:val="auto"/>
          <w:kern w:val="0"/>
          <w:sz w:val="32"/>
          <w:szCs w:val="32"/>
          <w:highlight w:val="none"/>
        </w:rPr>
        <w:t>（项目名称）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lang w:eastAsia="zh-CN"/>
        </w:rPr>
        <w:t>参选</w:t>
      </w:r>
      <w:r>
        <w:rPr>
          <w:rFonts w:hint="eastAsia" w:ascii="宋体" w:hAnsi="宋体"/>
          <w:color w:val="auto"/>
          <w:kern w:val="0"/>
          <w:sz w:val="72"/>
          <w:szCs w:val="72"/>
          <w:highlight w:val="none"/>
        </w:rPr>
        <w:t>文件</w:t>
      </w:r>
    </w:p>
    <w:p>
      <w:pPr>
        <w:autoSpaceDE w:val="0"/>
        <w:autoSpaceDN w:val="0"/>
        <w:adjustRightInd w:val="0"/>
        <w:snapToGrid w:val="0"/>
        <w:spacing w:line="360" w:lineRule="auto"/>
        <w:jc w:val="center"/>
        <w:rPr>
          <w:rFonts w:ascii="宋体" w:hAnsi="宋体"/>
          <w:b/>
          <w:bCs/>
          <w:color w:val="auto"/>
          <w:kern w:val="0"/>
          <w:sz w:val="40"/>
          <w:szCs w:val="40"/>
          <w:highlight w:val="none"/>
        </w:rPr>
      </w:pPr>
      <w:r>
        <w:rPr>
          <w:rFonts w:hint="eastAsia" w:ascii="宋体" w:hAnsi="宋体"/>
          <w:b/>
          <w:bCs/>
          <w:color w:val="auto"/>
          <w:kern w:val="0"/>
          <w:sz w:val="40"/>
          <w:szCs w:val="40"/>
          <w:highlight w:val="none"/>
          <w:lang w:eastAsia="zh-CN"/>
        </w:rPr>
        <w:t>参选</w:t>
      </w:r>
      <w:r>
        <w:rPr>
          <w:rFonts w:hint="eastAsia" w:ascii="宋体" w:hAnsi="宋体"/>
          <w:b/>
          <w:bCs/>
          <w:color w:val="auto"/>
          <w:kern w:val="0"/>
          <w:sz w:val="40"/>
          <w:szCs w:val="40"/>
          <w:highlight w:val="none"/>
        </w:rPr>
        <w:t>函部分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60" w:afterLines="50" w:line="360" w:lineRule="auto"/>
        <w:jc w:val="center"/>
        <w:rPr>
          <w:rFonts w:ascii="宋体" w:hAnsi="宋体"/>
          <w:color w:val="auto"/>
          <w:w w:val="99"/>
          <w:kern w:val="0"/>
          <w:sz w:val="28"/>
          <w:szCs w:val="28"/>
          <w:highlight w:val="none"/>
        </w:rPr>
      </w:pPr>
      <w:r>
        <w:rPr>
          <w:rFonts w:hint="eastAsia" w:ascii="宋体" w:hAnsi="宋体"/>
          <w:color w:val="auto"/>
          <w:w w:val="99"/>
          <w:kern w:val="0"/>
          <w:sz w:val="28"/>
          <w:szCs w:val="28"/>
          <w:highlight w:val="none"/>
          <w:lang w:eastAsia="zh-CN"/>
        </w:rPr>
        <w:t>参选</w:t>
      </w:r>
      <w:r>
        <w:rPr>
          <w:rFonts w:hint="eastAsia" w:ascii="宋体" w:hAnsi="宋体"/>
          <w:color w:val="auto"/>
          <w:w w:val="99"/>
          <w:kern w:val="0"/>
          <w:sz w:val="28"/>
          <w:szCs w:val="28"/>
          <w:highlight w:val="none"/>
        </w:rPr>
        <w:t>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w:t>
      </w:r>
      <w:r>
        <w:rPr>
          <w:rFonts w:hint="eastAsia" w:ascii="宋体" w:hAnsi="宋体"/>
          <w:color w:val="auto"/>
          <w:w w:val="99"/>
          <w:kern w:val="0"/>
          <w:sz w:val="28"/>
          <w:szCs w:val="28"/>
          <w:highlight w:val="none"/>
        </w:rPr>
        <w:t>公</w:t>
      </w:r>
      <w:r>
        <w:rPr>
          <w:rFonts w:ascii="宋体" w:hAnsi="宋体"/>
          <w:color w:val="auto"/>
          <w:w w:val="99"/>
          <w:kern w:val="0"/>
          <w:sz w:val="28"/>
          <w:szCs w:val="28"/>
          <w:highlight w:val="none"/>
        </w:rPr>
        <w:t>章）</w:t>
      </w:r>
    </w:p>
    <w:p>
      <w:pPr>
        <w:tabs>
          <w:tab w:val="left" w:pos="6080"/>
          <w:tab w:val="left" w:pos="6640"/>
        </w:tabs>
        <w:autoSpaceDE w:val="0"/>
        <w:autoSpaceDN w:val="0"/>
        <w:adjustRightInd w:val="0"/>
        <w:snapToGrid w:val="0"/>
        <w:spacing w:after="160"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r>
        <w:rPr>
          <w:rFonts w:hint="eastAsia" w:ascii="宋体" w:hAnsi="宋体"/>
          <w:color w:val="auto"/>
          <w:kern w:val="0"/>
          <w:sz w:val="36"/>
          <w:szCs w:val="36"/>
          <w:highlight w:val="none"/>
        </w:rPr>
        <w:t>目  录</w:t>
      </w:r>
    </w:p>
    <w:p>
      <w:pPr>
        <w:rPr>
          <w:color w:val="auto"/>
          <w:highlight w:val="none"/>
        </w:rPr>
      </w:pPr>
    </w:p>
    <w:p>
      <w:pPr>
        <w:spacing w:line="360" w:lineRule="auto"/>
        <w:rPr>
          <w:rFonts w:hint="eastAsia" w:ascii="宋体" w:hAnsi="宋体"/>
          <w:bCs/>
          <w:color w:val="auto"/>
          <w:highlight w:val="none"/>
        </w:rPr>
      </w:pPr>
      <w:r>
        <w:rPr>
          <w:rFonts w:hint="eastAsia" w:ascii="宋体" w:hAnsi="宋体"/>
          <w:bCs/>
          <w:color w:val="auto"/>
          <w:highlight w:val="none"/>
        </w:rPr>
        <w:t>1.</w:t>
      </w:r>
      <w:r>
        <w:rPr>
          <w:rFonts w:hint="eastAsia" w:ascii="宋体" w:hAnsi="宋体"/>
          <w:bCs/>
          <w:color w:val="auto"/>
          <w:highlight w:val="none"/>
          <w:lang w:eastAsia="zh-CN"/>
        </w:rPr>
        <w:t>参选</w:t>
      </w:r>
      <w:r>
        <w:rPr>
          <w:rFonts w:hint="eastAsia" w:ascii="宋体" w:hAnsi="宋体"/>
          <w:bCs/>
          <w:color w:val="auto"/>
          <w:highlight w:val="none"/>
        </w:rPr>
        <w:t>函</w:t>
      </w:r>
    </w:p>
    <w:p>
      <w:pPr>
        <w:spacing w:line="360" w:lineRule="auto"/>
        <w:rPr>
          <w:rFonts w:ascii="宋体" w:hAnsi="宋体"/>
          <w:bCs/>
          <w:color w:val="auto"/>
          <w:highlight w:val="none"/>
        </w:rPr>
      </w:pPr>
      <w:r>
        <w:rPr>
          <w:rFonts w:hint="eastAsia" w:ascii="宋体" w:hAnsi="宋体"/>
          <w:bCs/>
          <w:color w:val="auto"/>
          <w:highlight w:val="none"/>
        </w:rPr>
        <w:t>2.</w:t>
      </w:r>
      <w:r>
        <w:rPr>
          <w:rFonts w:ascii="宋体" w:hAnsi="宋体"/>
          <w:bCs/>
          <w:color w:val="auto"/>
          <w:highlight w:val="none"/>
        </w:rPr>
        <w:t>法定代表人身份证明及授权委托书</w:t>
      </w:r>
    </w:p>
    <w:p>
      <w:pPr>
        <w:spacing w:line="360" w:lineRule="auto"/>
        <w:rPr>
          <w:rFonts w:ascii="宋体" w:hAnsi="宋体"/>
          <w:bCs/>
          <w:color w:val="auto"/>
          <w:highlight w:val="none"/>
        </w:rPr>
      </w:pPr>
    </w:p>
    <w:p>
      <w:pPr>
        <w:autoSpaceDE w:val="0"/>
        <w:autoSpaceDN w:val="0"/>
        <w:adjustRightInd w:val="0"/>
        <w:spacing w:line="360" w:lineRule="auto"/>
        <w:ind w:firstLine="480" w:firstLineChars="200"/>
        <w:jc w:val="left"/>
        <w:rPr>
          <w:rFonts w:ascii="宋体" w:hAnsi="宋体"/>
          <w:color w:val="auto"/>
          <w:kern w:val="0"/>
          <w:sz w:val="24"/>
          <w:highlight w:val="none"/>
        </w:rPr>
      </w:pPr>
    </w:p>
    <w:p>
      <w:pPr>
        <w:autoSpaceDE w:val="0"/>
        <w:autoSpaceDN w:val="0"/>
        <w:adjustRightInd w:val="0"/>
        <w:spacing w:line="360" w:lineRule="auto"/>
        <w:ind w:firstLine="480" w:firstLineChars="200"/>
        <w:jc w:val="left"/>
        <w:rPr>
          <w:rFonts w:ascii="宋体" w:hAnsi="宋体"/>
          <w:color w:val="auto"/>
          <w:kern w:val="0"/>
          <w:sz w:val="24"/>
          <w:highlight w:val="none"/>
        </w:rPr>
      </w:pPr>
    </w:p>
    <w:p>
      <w:pPr>
        <w:autoSpaceDE w:val="0"/>
        <w:autoSpaceDN w:val="0"/>
        <w:adjustRightInd w:val="0"/>
        <w:spacing w:line="360" w:lineRule="auto"/>
        <w:ind w:firstLine="480" w:firstLineChars="200"/>
        <w:jc w:val="left"/>
        <w:rPr>
          <w:rFonts w:ascii="宋体" w:hAnsi="宋体"/>
          <w:color w:val="auto"/>
          <w:kern w:val="0"/>
          <w:sz w:val="24"/>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autoSpaceDE w:val="0"/>
        <w:autoSpaceDN w:val="0"/>
        <w:adjustRightInd w:val="0"/>
        <w:snapToGrid w:val="0"/>
        <w:spacing w:line="360" w:lineRule="auto"/>
        <w:jc w:val="left"/>
        <w:rPr>
          <w:rFonts w:ascii="宋体" w:hAnsi="宋体"/>
          <w:color w:val="auto"/>
          <w:w w:val="99"/>
          <w:kern w:val="0"/>
          <w:sz w:val="28"/>
          <w:szCs w:val="28"/>
          <w:highlight w:val="none"/>
        </w:rPr>
      </w:pPr>
    </w:p>
    <w:p>
      <w:pPr>
        <w:snapToGrid w:val="0"/>
        <w:spacing w:line="360" w:lineRule="auto"/>
        <w:jc w:val="center"/>
        <w:outlineLvl w:val="2"/>
        <w:rPr>
          <w:rFonts w:hint="eastAsia" w:ascii="宋体" w:hAnsi="宋体"/>
          <w:b/>
          <w:color w:val="auto"/>
          <w:highlight w:val="none"/>
        </w:rPr>
      </w:pPr>
      <w:bookmarkStart w:id="69" w:name="_Toc224103495"/>
      <w:bookmarkStart w:id="70" w:name="_Toc277082643"/>
      <w:bookmarkStart w:id="71" w:name="_Toc534185831"/>
      <w:bookmarkStart w:id="72" w:name="_Toc287620814"/>
      <w:bookmarkStart w:id="73" w:name="_Toc430530530"/>
      <w:bookmarkStart w:id="74" w:name="_Toc287607867"/>
      <w:bookmarkStart w:id="75" w:name="_Toc509218854"/>
      <w:r>
        <w:rPr>
          <w:rFonts w:ascii="宋体" w:hAnsi="宋体"/>
          <w:color w:val="auto"/>
          <w:highlight w:val="none"/>
        </w:rPr>
        <w:br w:type="page"/>
      </w:r>
      <w:bookmarkEnd w:id="69"/>
      <w:bookmarkEnd w:id="70"/>
      <w:bookmarkEnd w:id="71"/>
      <w:bookmarkEnd w:id="72"/>
      <w:bookmarkEnd w:id="73"/>
      <w:bookmarkEnd w:id="74"/>
      <w:bookmarkEnd w:id="75"/>
      <w:bookmarkStart w:id="76" w:name="_Toc14234"/>
      <w:bookmarkStart w:id="77" w:name="_Toc29416"/>
      <w:r>
        <w:rPr>
          <w:rFonts w:hint="eastAsia" w:ascii="宋体" w:hAnsi="宋体"/>
          <w:b/>
          <w:bCs/>
          <w:snapToGrid w:val="0"/>
          <w:color w:val="auto"/>
          <w:kern w:val="0"/>
          <w:sz w:val="28"/>
          <w:szCs w:val="28"/>
          <w:highlight w:val="none"/>
        </w:rPr>
        <w:t>1.</w:t>
      </w:r>
      <w:bookmarkEnd w:id="76"/>
      <w:bookmarkEnd w:id="77"/>
      <w:r>
        <w:rPr>
          <w:rFonts w:hint="eastAsia" w:ascii="宋体" w:hAnsi="宋体"/>
          <w:b/>
          <w:bCs/>
          <w:snapToGrid w:val="0"/>
          <w:color w:val="auto"/>
          <w:kern w:val="0"/>
          <w:sz w:val="28"/>
          <w:szCs w:val="28"/>
          <w:highlight w:val="none"/>
          <w:lang w:eastAsia="zh-CN"/>
        </w:rPr>
        <w:t>参选</w:t>
      </w:r>
      <w:r>
        <w:rPr>
          <w:rFonts w:hint="eastAsia" w:ascii="宋体" w:hAnsi="宋体"/>
          <w:b/>
          <w:bCs/>
          <w:snapToGrid w:val="0"/>
          <w:color w:val="auto"/>
          <w:kern w:val="0"/>
          <w:sz w:val="28"/>
          <w:szCs w:val="28"/>
          <w:highlight w:val="none"/>
        </w:rPr>
        <w:t>函</w:t>
      </w:r>
    </w:p>
    <w:p>
      <w:pPr>
        <w:tabs>
          <w:tab w:val="left" w:pos="2640"/>
        </w:tabs>
        <w:autoSpaceDE w:val="0"/>
        <w:autoSpaceDN w:val="0"/>
        <w:adjustRightInd w:val="0"/>
        <w:spacing w:line="360" w:lineRule="auto"/>
        <w:rPr>
          <w:rFonts w:ascii="宋体" w:hAnsi="宋体"/>
          <w:snapToGrid w:val="0"/>
          <w:color w:val="auto"/>
          <w:kern w:val="0"/>
          <w:szCs w:val="21"/>
          <w:highlight w:val="none"/>
        </w:rPr>
      </w:pPr>
      <w:bookmarkStart w:id="78" w:name="_Toc15801"/>
      <w:bookmarkStart w:id="79" w:name="_Toc22723"/>
      <w:r>
        <w:rPr>
          <w:rFonts w:ascii="宋体" w:hAnsi="宋体"/>
          <w:snapToGrid w:val="0"/>
          <w:color w:val="auto"/>
          <w:kern w:val="0"/>
          <w:szCs w:val="21"/>
          <w:highlight w:val="none"/>
          <w:u w:val="single"/>
        </w:rPr>
        <w:tab/>
      </w:r>
      <w:r>
        <w:rPr>
          <w:rFonts w:ascii="宋体" w:hAnsi="宋体"/>
          <w:snapToGrid w:val="0"/>
          <w:color w:val="auto"/>
          <w:kern w:val="0"/>
          <w:szCs w:val="21"/>
          <w:highlight w:val="none"/>
        </w:rPr>
        <w:t>（比选人名称）：</w:t>
      </w:r>
    </w:p>
    <w:p>
      <w:pPr>
        <w:numPr>
          <w:ilvl w:val="0"/>
          <w:numId w:val="2"/>
        </w:numPr>
        <w:tabs>
          <w:tab w:val="left" w:pos="2655"/>
          <w:tab w:val="left" w:pos="3520"/>
          <w:tab w:val="left" w:pos="4620"/>
          <w:tab w:val="left" w:pos="4920"/>
          <w:tab w:val="left" w:pos="5715"/>
          <w:tab w:val="left" w:pos="6945"/>
          <w:tab w:val="left" w:pos="7980"/>
        </w:tabs>
        <w:autoSpaceDE w:val="0"/>
        <w:autoSpaceDN w:val="0"/>
        <w:adjustRightInd w:val="0"/>
        <w:spacing w:line="360" w:lineRule="auto"/>
        <w:ind w:firstLine="420" w:firstLineChars="200"/>
        <w:rPr>
          <w:rFonts w:hint="default" w:ascii="宋体" w:hAnsi="宋体"/>
          <w:snapToGrid w:val="0"/>
          <w:color w:val="auto"/>
          <w:kern w:val="0"/>
          <w:szCs w:val="21"/>
          <w:highlight w:val="none"/>
          <w:u w:val="none"/>
          <w:lang w:val="en-US" w:eastAsia="zh-CN"/>
        </w:rPr>
      </w:pP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施工</w:t>
      </w:r>
      <w:r>
        <w:rPr>
          <w:rFonts w:hint="eastAsia" w:ascii="宋体" w:hAnsi="宋体"/>
          <w:snapToGrid w:val="0"/>
          <w:color w:val="auto"/>
          <w:kern w:val="0"/>
          <w:szCs w:val="21"/>
          <w:highlight w:val="none"/>
          <w:lang w:eastAsia="zh-CN"/>
        </w:rPr>
        <w:t>公开</w:t>
      </w:r>
      <w:r>
        <w:rPr>
          <w:rFonts w:ascii="宋体" w:hAnsi="宋体"/>
          <w:snapToGrid w:val="0"/>
          <w:color w:val="auto"/>
          <w:kern w:val="0"/>
          <w:szCs w:val="21"/>
          <w:highlight w:val="none"/>
        </w:rPr>
        <w:t>比选文件的全部内容，愿意以人民币</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none"/>
          <w:lang w:val="en-US" w:eastAsia="zh-CN"/>
        </w:rPr>
        <w:t>元</w:t>
      </w:r>
      <w:r>
        <w:rPr>
          <w:rFonts w:ascii="宋体" w:hAnsi="宋体"/>
          <w:snapToGrid w:val="0"/>
          <w:color w:val="auto"/>
          <w:kern w:val="0"/>
          <w:szCs w:val="21"/>
          <w:highlight w:val="none"/>
        </w:rPr>
        <w:t>（大写</w:t>
      </w:r>
      <w:r>
        <w:rPr>
          <w:rFonts w:hint="eastAsia" w:ascii="宋体" w:hAnsi="宋体"/>
          <w:snapToGrid w:val="0"/>
          <w:color w:val="auto"/>
          <w:kern w:val="0"/>
          <w:szCs w:val="21"/>
          <w:highlight w:val="none"/>
          <w:u w:val="single"/>
          <w:lang w:val="en-US" w:eastAsia="zh-CN"/>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的</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总报价</w:t>
      </w:r>
      <w:r>
        <w:rPr>
          <w:rFonts w:hint="eastAsia" w:ascii="宋体" w:hAnsi="宋体"/>
          <w:snapToGrid w:val="0"/>
          <w:color w:val="auto"/>
          <w:kern w:val="0"/>
          <w:szCs w:val="21"/>
          <w:highlight w:val="none"/>
        </w:rPr>
        <w:t>承接本项目</w:t>
      </w:r>
      <w:r>
        <w:rPr>
          <w:rFonts w:hint="eastAsia" w:ascii="宋体" w:hAnsi="宋体"/>
          <w:snapToGrid w:val="0"/>
          <w:color w:val="auto"/>
          <w:kern w:val="0"/>
          <w:szCs w:val="21"/>
          <w:highlight w:val="none"/>
          <w:lang w:val="en-US" w:eastAsia="zh-CN"/>
        </w:rPr>
        <w:t>的执行</w:t>
      </w:r>
      <w:r>
        <w:rPr>
          <w:rFonts w:hint="eastAsia" w:ascii="宋体" w:hAnsi="宋体"/>
          <w:snapToGrid w:val="0"/>
          <w:color w:val="auto"/>
          <w:kern w:val="0"/>
          <w:szCs w:val="21"/>
          <w:highlight w:val="none"/>
          <w:u w:val="none"/>
          <w:lang w:val="en-US" w:eastAsia="zh-CN"/>
        </w:rPr>
        <w:t>，</w:t>
      </w:r>
      <w:r>
        <w:rPr>
          <w:rFonts w:hint="eastAsia"/>
          <w:color w:val="000000"/>
          <w:szCs w:val="21"/>
        </w:rPr>
        <w:t>费用包含：</w:t>
      </w:r>
      <w:r>
        <w:rPr>
          <w:rFonts w:hint="eastAsia"/>
          <w:color w:val="000000"/>
          <w:szCs w:val="21"/>
          <w:lang w:val="en-US" w:eastAsia="zh-CN"/>
        </w:rPr>
        <w:t>整体方案</w:t>
      </w:r>
      <w:r>
        <w:rPr>
          <w:rFonts w:hint="eastAsia"/>
          <w:color w:val="000000"/>
          <w:szCs w:val="21"/>
        </w:rPr>
        <w:t>执行</w:t>
      </w:r>
      <w:r>
        <w:rPr>
          <w:rFonts w:hint="eastAsia"/>
          <w:color w:val="000000"/>
          <w:szCs w:val="21"/>
          <w:lang w:val="en-US" w:eastAsia="zh-CN"/>
        </w:rPr>
        <w:t>费用</w:t>
      </w:r>
      <w:r>
        <w:rPr>
          <w:rFonts w:hint="eastAsia"/>
          <w:color w:val="000000"/>
          <w:szCs w:val="21"/>
          <w:lang w:eastAsia="zh-CN"/>
        </w:rPr>
        <w:t>；</w:t>
      </w:r>
      <w:r>
        <w:rPr>
          <w:rFonts w:hint="eastAsia"/>
          <w:color w:val="000000"/>
          <w:szCs w:val="21"/>
          <w:lang w:val="en-US" w:eastAsia="zh-CN"/>
        </w:rPr>
        <w:t>甲方自有设施设备的搬运、安装、拆卸费；需采购设施设及材料的</w:t>
      </w:r>
      <w:r>
        <w:rPr>
          <w:rFonts w:hint="eastAsia"/>
          <w:color w:val="000000"/>
          <w:szCs w:val="21"/>
        </w:rPr>
        <w:t>购买</w:t>
      </w:r>
      <w:r>
        <w:rPr>
          <w:rFonts w:hint="eastAsia"/>
          <w:color w:val="000000"/>
          <w:szCs w:val="21"/>
          <w:lang w:val="en-US" w:eastAsia="zh-CN"/>
        </w:rPr>
        <w:t>费</w:t>
      </w:r>
      <w:r>
        <w:rPr>
          <w:rFonts w:hint="eastAsia"/>
          <w:color w:val="000000"/>
          <w:szCs w:val="21"/>
          <w:lang w:eastAsia="zh-CN"/>
        </w:rPr>
        <w:t>；</w:t>
      </w:r>
      <w:r>
        <w:rPr>
          <w:rFonts w:hint="eastAsia"/>
          <w:color w:val="000000"/>
          <w:szCs w:val="21"/>
          <w:lang w:val="en-US" w:eastAsia="zh-CN"/>
        </w:rPr>
        <w:t>需租赁设施设备及材料的租赁费；完成执行清单和方案中所有设施设备</w:t>
      </w:r>
      <w:r>
        <w:rPr>
          <w:rFonts w:hint="eastAsia"/>
          <w:color w:val="000000"/>
          <w:szCs w:val="21"/>
        </w:rPr>
        <w:t>搭建</w:t>
      </w:r>
      <w:r>
        <w:rPr>
          <w:rFonts w:hint="eastAsia"/>
          <w:color w:val="000000"/>
          <w:szCs w:val="21"/>
          <w:lang w:eastAsia="zh-CN"/>
        </w:rPr>
        <w:t>、</w:t>
      </w:r>
      <w:r>
        <w:rPr>
          <w:rFonts w:hint="eastAsia"/>
          <w:color w:val="000000"/>
          <w:szCs w:val="21"/>
          <w:lang w:val="en-US" w:eastAsia="zh-CN"/>
        </w:rPr>
        <w:t>安装、调试、运行保障、拆除、搬运等所需的人工、机械设备、材料、管理费、</w:t>
      </w:r>
      <w:r>
        <w:rPr>
          <w:rFonts w:hint="eastAsia"/>
          <w:color w:val="000000"/>
          <w:szCs w:val="21"/>
        </w:rPr>
        <w:t>税费</w:t>
      </w:r>
      <w:r>
        <w:rPr>
          <w:rFonts w:hint="eastAsia"/>
          <w:szCs w:val="21"/>
        </w:rPr>
        <w:t>等</w:t>
      </w:r>
      <w:r>
        <w:rPr>
          <w:rFonts w:hint="eastAsia"/>
          <w:color w:val="000000"/>
          <w:szCs w:val="21"/>
        </w:rPr>
        <w:t>本合同产生的所有费用</w:t>
      </w:r>
      <w:r>
        <w:rPr>
          <w:rFonts w:hint="eastAsia"/>
          <w:color w:val="000000"/>
          <w:szCs w:val="21"/>
          <w:lang w:eastAsia="zh-CN"/>
        </w:rPr>
        <w:t>，</w:t>
      </w:r>
      <w:r>
        <w:rPr>
          <w:rFonts w:hint="eastAsia" w:ascii="宋体" w:hAnsi="宋体"/>
          <w:snapToGrid w:val="0"/>
          <w:color w:val="auto"/>
          <w:kern w:val="0"/>
          <w:szCs w:val="21"/>
          <w:highlight w:val="none"/>
          <w:u w:val="none"/>
          <w:lang w:val="en-US" w:eastAsia="zh-CN"/>
        </w:rPr>
        <w:t>具体详见参选函附件。</w:t>
      </w:r>
    </w:p>
    <w:p>
      <w:pPr>
        <w:numPr>
          <w:ilvl w:val="0"/>
          <w:numId w:val="2"/>
        </w:numPr>
        <w:tabs>
          <w:tab w:val="left" w:pos="2655"/>
          <w:tab w:val="left" w:pos="3520"/>
          <w:tab w:val="left" w:pos="4620"/>
          <w:tab w:val="left" w:pos="4920"/>
          <w:tab w:val="left" w:pos="5715"/>
          <w:tab w:val="left" w:pos="6945"/>
          <w:tab w:val="left" w:pos="798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本方承诺</w:t>
      </w:r>
      <w:r>
        <w:rPr>
          <w:rFonts w:ascii="宋体" w:hAnsi="宋体"/>
          <w:snapToGrid w:val="0"/>
          <w:color w:val="auto"/>
          <w:kern w:val="0"/>
          <w:szCs w:val="21"/>
          <w:highlight w:val="none"/>
        </w:rPr>
        <w:t>按</w:t>
      </w:r>
      <w:r>
        <w:rPr>
          <w:rFonts w:ascii="宋体" w:hAnsi="宋体" w:cs="宋体"/>
          <w:color w:val="auto"/>
          <w:szCs w:val="21"/>
          <w:highlight w:val="none"/>
        </w:rPr>
        <w:t>合同约定实施和完成</w:t>
      </w:r>
      <w:r>
        <w:rPr>
          <w:rFonts w:hint="eastAsia" w:ascii="宋体" w:hAnsi="宋体" w:cs="宋体"/>
          <w:color w:val="auto"/>
          <w:szCs w:val="21"/>
          <w:highlight w:val="none"/>
        </w:rPr>
        <w:t>所有工作</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工程</w:t>
      </w:r>
      <w:r>
        <w:rPr>
          <w:rFonts w:ascii="宋体" w:hAnsi="宋体"/>
          <w:snapToGrid w:val="0"/>
          <w:color w:val="auto"/>
          <w:kern w:val="0"/>
          <w:szCs w:val="21"/>
          <w:highlight w:val="none"/>
        </w:rPr>
        <w:t>质量</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满足比选文件要求</w:t>
      </w:r>
      <w:r>
        <w:rPr>
          <w:rFonts w:hint="eastAsia" w:ascii="宋体" w:hAnsi="宋体"/>
          <w:color w:val="auto"/>
          <w:szCs w:val="21"/>
          <w:highlight w:val="none"/>
          <w:u w:val="single"/>
        </w:rPr>
        <w:t xml:space="preserve">  </w:t>
      </w:r>
      <w:r>
        <w:rPr>
          <w:rFonts w:ascii="宋体" w:hAnsi="宋体"/>
          <w:color w:val="auto"/>
          <w:szCs w:val="21"/>
          <w:highlight w:val="none"/>
        </w:rPr>
        <w:t>。</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有效期内不修改、撤销</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文件。</w:t>
      </w:r>
    </w:p>
    <w:p>
      <w:pPr>
        <w:tabs>
          <w:tab w:val="left" w:pos="2730"/>
          <w:tab w:val="left" w:pos="798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函提交</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保证金一份，金额为人民币</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元（大写</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 xml:space="preserve">. </w:t>
      </w:r>
      <w:r>
        <w:rPr>
          <w:rFonts w:hint="eastAsia" w:ascii="宋体" w:hAnsi="宋体"/>
          <w:snapToGrid w:val="0"/>
          <w:color w:val="auto"/>
          <w:kern w:val="0"/>
          <w:szCs w:val="21"/>
          <w:highlight w:val="none"/>
          <w:lang w:val="en-US" w:eastAsia="zh-CN"/>
        </w:rPr>
        <w:t>若</w:t>
      </w:r>
      <w:r>
        <w:rPr>
          <w:rFonts w:ascii="宋体" w:hAnsi="宋体"/>
          <w:snapToGrid w:val="0"/>
          <w:color w:val="auto"/>
          <w:kern w:val="0"/>
          <w:szCs w:val="21"/>
          <w:highlight w:val="none"/>
        </w:rPr>
        <w:t>我方中选：</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（1）我方承诺在收到中选通知书后，在中选通知书规定的期限内与你方签订合同。</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（2）随同本</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函递交的</w:t>
      </w:r>
      <w:r>
        <w:rPr>
          <w:rFonts w:hint="eastAsia" w:ascii="宋体" w:hAnsi="宋体"/>
          <w:snapToGrid w:val="0"/>
          <w:color w:val="auto"/>
          <w:kern w:val="0"/>
          <w:szCs w:val="21"/>
          <w:highlight w:val="none"/>
          <w:lang w:eastAsia="zh-CN"/>
        </w:rPr>
        <w:t>参选</w:t>
      </w:r>
      <w:r>
        <w:rPr>
          <w:rFonts w:ascii="宋体" w:hAnsi="宋体"/>
          <w:snapToGrid w:val="0"/>
          <w:color w:val="auto"/>
          <w:kern w:val="0"/>
          <w:szCs w:val="21"/>
          <w:highlight w:val="none"/>
        </w:rPr>
        <w:t>函</w:t>
      </w:r>
      <w:r>
        <w:rPr>
          <w:rFonts w:hint="eastAsia" w:ascii="宋体" w:hAnsi="宋体"/>
          <w:snapToGrid w:val="0"/>
          <w:color w:val="auto"/>
          <w:kern w:val="0"/>
          <w:szCs w:val="21"/>
          <w:highlight w:val="none"/>
          <w:lang w:val="en-US" w:eastAsia="zh-CN"/>
        </w:rPr>
        <w:t>附件</w:t>
      </w:r>
      <w:r>
        <w:rPr>
          <w:rFonts w:ascii="宋体" w:hAnsi="宋体"/>
          <w:snapToGrid w:val="0"/>
          <w:color w:val="auto"/>
          <w:kern w:val="0"/>
          <w:szCs w:val="21"/>
          <w:highlight w:val="none"/>
        </w:rPr>
        <w:t>属于合同文件的组成部分。</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（3）我方承诺按照比选文件规定向你方递交履约担保。</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（4）我方承诺在合同约定的期限内完成并移交全部合同</w:t>
      </w:r>
      <w:r>
        <w:rPr>
          <w:rFonts w:hint="eastAsia" w:ascii="宋体" w:hAnsi="宋体"/>
          <w:snapToGrid w:val="0"/>
          <w:color w:val="auto"/>
          <w:kern w:val="0"/>
          <w:szCs w:val="21"/>
          <w:highlight w:val="none"/>
        </w:rPr>
        <w:t>服务</w:t>
      </w:r>
      <w:r>
        <w:rPr>
          <w:rFonts w:ascii="宋体" w:hAnsi="宋体"/>
          <w:snapToGrid w:val="0"/>
          <w:color w:val="auto"/>
          <w:kern w:val="0"/>
          <w:szCs w:val="21"/>
          <w:highlight w:val="none"/>
        </w:rPr>
        <w:t>。</w:t>
      </w:r>
    </w:p>
    <w:p>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w:t>
      </w:r>
      <w:r>
        <w:rPr>
          <w:rFonts w:hint="eastAsia" w:ascii="宋体" w:hAnsi="宋体"/>
          <w:snapToGrid w:val="0"/>
          <w:color w:val="auto"/>
          <w:spacing w:val="-2"/>
          <w:kern w:val="0"/>
          <w:szCs w:val="21"/>
          <w:highlight w:val="none"/>
          <w:lang w:eastAsia="zh-CN"/>
        </w:rPr>
        <w:t>参选</w:t>
      </w:r>
      <w:r>
        <w:rPr>
          <w:rFonts w:ascii="宋体" w:hAnsi="宋体"/>
          <w:snapToGrid w:val="0"/>
          <w:color w:val="auto"/>
          <w:spacing w:val="-2"/>
          <w:kern w:val="0"/>
          <w:szCs w:val="21"/>
          <w:highlight w:val="none"/>
        </w:rPr>
        <w:t>文件及有关资料内容完整、真实和准确</w:t>
      </w:r>
      <w:r>
        <w:rPr>
          <w:rFonts w:ascii="宋体" w:hAnsi="宋体"/>
          <w:snapToGrid w:val="0"/>
          <w:color w:val="auto"/>
          <w:kern w:val="0"/>
          <w:szCs w:val="21"/>
          <w:highlight w:val="none"/>
        </w:rPr>
        <w:t>。同时我方承诺接受比选文件及附件、答疑及补遗通知中所有的内容。</w:t>
      </w:r>
    </w:p>
    <w:p>
      <w:pPr>
        <w:tabs>
          <w:tab w:val="left" w:pos="5985"/>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7</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（其他补充说明）。</w:t>
      </w: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color w:val="auto"/>
          <w:kern w:val="0"/>
          <w:szCs w:val="21"/>
          <w:highlight w:val="none"/>
        </w:rPr>
      </w:pP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竞  选</w:t>
      </w:r>
      <w:r>
        <w:rPr>
          <w:rFonts w:ascii="宋体" w:hAnsi="宋体"/>
          <w:snapToGrid w:val="0"/>
          <w:color w:val="auto"/>
          <w:kern w:val="0"/>
          <w:szCs w:val="21"/>
          <w:highlight w:val="none"/>
        </w:rPr>
        <w:t xml:space="preserve">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w:t>
      </w:r>
      <w:r>
        <w:rPr>
          <w:rFonts w:hint="eastAsia" w:ascii="宋体" w:hAnsi="宋体"/>
          <w:snapToGrid w:val="0"/>
          <w:color w:val="auto"/>
          <w:kern w:val="0"/>
          <w:szCs w:val="21"/>
          <w:highlight w:val="none"/>
        </w:rPr>
        <w:t>公</w:t>
      </w:r>
      <w:r>
        <w:rPr>
          <w:rFonts w:ascii="宋体" w:hAnsi="宋体"/>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电</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话：</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tabs>
          <w:tab w:val="left" w:pos="8300"/>
        </w:tabs>
        <w:autoSpaceDE w:val="0"/>
        <w:autoSpaceDN w:val="0"/>
        <w:adjustRightInd w:val="0"/>
        <w:spacing w:line="360" w:lineRule="auto"/>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2"/>
        <w:rPr>
          <w:rFonts w:ascii="宋体" w:hAnsi="宋体"/>
          <w:color w:val="auto"/>
          <w:kern w:val="0"/>
          <w:szCs w:val="21"/>
          <w:highlight w:val="none"/>
        </w:rPr>
      </w:pPr>
    </w:p>
    <w:p>
      <w:pPr>
        <w:rPr>
          <w:rFonts w:ascii="宋体" w:hAnsi="宋体"/>
          <w:color w:val="auto"/>
          <w:kern w:val="0"/>
          <w:szCs w:val="21"/>
          <w:highlight w:val="none"/>
        </w:rPr>
      </w:pPr>
    </w:p>
    <w:p>
      <w:pPr>
        <w:pStyle w:val="2"/>
        <w:rPr>
          <w:rFonts w:ascii="宋体" w:hAnsi="宋体"/>
          <w:color w:val="auto"/>
          <w:kern w:val="0"/>
          <w:szCs w:val="21"/>
          <w:highlight w:val="none"/>
        </w:rPr>
      </w:pPr>
    </w:p>
    <w:p>
      <w:pPr>
        <w:rPr>
          <w:rFonts w:ascii="宋体" w:hAnsi="宋体"/>
          <w:color w:val="auto"/>
          <w:kern w:val="0"/>
          <w:szCs w:val="21"/>
          <w:highlight w:val="none"/>
        </w:rPr>
      </w:pPr>
    </w:p>
    <w:p>
      <w:pPr>
        <w:pStyle w:val="2"/>
        <w:rPr>
          <w:rFonts w:ascii="宋体" w:hAnsi="宋体"/>
          <w:color w:val="auto"/>
          <w:kern w:val="0"/>
          <w:szCs w:val="21"/>
          <w:highlight w:val="none"/>
        </w:rPr>
      </w:pPr>
    </w:p>
    <w:p>
      <w:pPr>
        <w:rPr>
          <w:rFonts w:ascii="宋体" w:hAnsi="宋体"/>
          <w:color w:val="auto"/>
          <w:kern w:val="0"/>
          <w:szCs w:val="21"/>
          <w:highlight w:val="none"/>
        </w:rPr>
      </w:pPr>
    </w:p>
    <w:p>
      <w:pPr>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lang w:val="en-US" w:eastAsia="zh-CN"/>
        </w:rPr>
        <w:t>参选函附件</w:t>
      </w:r>
    </w:p>
    <w:tbl>
      <w:tblPr>
        <w:tblStyle w:val="5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7"/>
        <w:gridCol w:w="2746"/>
        <w:gridCol w:w="2167"/>
        <w:gridCol w:w="554"/>
        <w:gridCol w:w="518"/>
        <w:gridCol w:w="971"/>
        <w:gridCol w:w="518"/>
        <w:gridCol w:w="971"/>
        <w:gridCol w:w="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黑体" w:hAnsi="宋体" w:eastAsia="黑体" w:cs="黑体"/>
                <w:b/>
                <w:bCs/>
                <w:i w:val="0"/>
                <w:iCs w:val="0"/>
                <w:color w:val="000000"/>
                <w:kern w:val="0"/>
                <w:sz w:val="32"/>
                <w:szCs w:val="32"/>
                <w:u w:val="none"/>
                <w:lang w:val="en-US" w:eastAsia="zh-CN" w:bidi="ar"/>
              </w:rPr>
            </w:pPr>
            <w:r>
              <w:rPr>
                <w:rFonts w:hint="eastAsia" w:ascii="黑体" w:hAnsi="宋体" w:eastAsia="黑体" w:cs="黑体"/>
                <w:b/>
                <w:bCs/>
                <w:i w:val="0"/>
                <w:iCs w:val="0"/>
                <w:color w:val="000000"/>
                <w:kern w:val="0"/>
                <w:sz w:val="32"/>
                <w:szCs w:val="32"/>
                <w:u w:val="none"/>
                <w:lang w:val="en-US" w:eastAsia="zh-CN" w:bidi="ar"/>
              </w:rPr>
              <w:t>重庆国际光影文化旅游季-重庆市儿童公园光影艺术邀请展</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黑体" w:hAnsi="宋体" w:eastAsia="黑体" w:cs="黑体"/>
                <w:b/>
                <w:bCs/>
                <w:i w:val="0"/>
                <w:iCs w:val="0"/>
                <w:color w:val="000000"/>
                <w:sz w:val="32"/>
                <w:szCs w:val="32"/>
                <w:u w:val="none"/>
                <w:lang w:val="en-US"/>
              </w:rPr>
            </w:pPr>
            <w:r>
              <w:rPr>
                <w:rFonts w:hint="eastAsia" w:ascii="黑体" w:hAnsi="宋体" w:eastAsia="黑体" w:cs="黑体"/>
                <w:b/>
                <w:bCs/>
                <w:i w:val="0"/>
                <w:iCs w:val="0"/>
                <w:color w:val="000000"/>
                <w:kern w:val="0"/>
                <w:sz w:val="32"/>
                <w:szCs w:val="32"/>
                <w:u w:val="none"/>
                <w:lang w:val="en-US" w:eastAsia="zh-CN" w:bidi="ar"/>
              </w:rPr>
              <w:t>执行清单及报价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206"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514"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216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技术参数或说明</w:t>
            </w:r>
          </w:p>
        </w:tc>
        <w:tc>
          <w:tcPr>
            <w:tcW w:w="259"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206"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324"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206"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天数</w:t>
            </w:r>
          </w:p>
        </w:tc>
        <w:tc>
          <w:tcPr>
            <w:tcW w:w="359"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总价（元）</w:t>
            </w:r>
          </w:p>
        </w:tc>
        <w:tc>
          <w:tcPr>
            <w:tcW w:w="457" w:type="pct"/>
            <w:tcBorders>
              <w:top w:val="single" w:color="000000" w:sz="4" w:space="0"/>
              <w:left w:val="single" w:color="000000" w:sz="4" w:space="0"/>
              <w:bottom w:val="single" w:color="000000" w:sz="4" w:space="0"/>
              <w:right w:val="single" w:color="000000" w:sz="4" w:space="0"/>
            </w:tcBorders>
            <w:shd w:val="clear" w:color="auto" w:fill="E3F2D9"/>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光屿（入口大门）</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2"/>
                <w:szCs w:val="22"/>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2"/>
                <w:szCs w:val="22"/>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2"/>
                <w:szCs w:val="22"/>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2"/>
                <w:szCs w:val="22"/>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3"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激光工程投影机LEP-50A（含镜头/含适配水冷机）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光通量：50000 流明</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分辨率：WUXGA(兼容4096*2160)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显示技术：3片DLP /0.96英寸</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光源：红蓝双色激光</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光源寿命：20000小时</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输入接口：HDMI、DP1.2</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 电源：230 AVC 50/60 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 功耗</w:t>
            </w:r>
            <w:bookmarkStart w:id="108" w:name="_GoBack"/>
            <w:bookmarkEnd w:id="108"/>
            <w:r>
              <w:rPr>
                <w:rFonts w:hint="eastAsia" w:ascii="方正仿宋_GBK" w:hAnsi="方正仿宋_GBK" w:eastAsia="方正仿宋_GBK" w:cs="方正仿宋_GBK"/>
                <w:i w:val="0"/>
                <w:iCs w:val="0"/>
                <w:color w:val="000000"/>
                <w:kern w:val="0"/>
                <w:sz w:val="18"/>
                <w:szCs w:val="18"/>
                <w:u w:val="none"/>
                <w:lang w:val="en-US" w:eastAsia="zh-CN" w:bidi="ar"/>
              </w:rPr>
              <w:t>：3650W</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 噪音：53dB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 尺寸：840 x 650 x 381 mm</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 重量：88kg （不含镜头）</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 工作温度：0–450°C</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 工作湿度10–90 %（无冷凝）</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14. 支持边缘融合及四角矫正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15. 支持HDR高动态范围信号处理</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16. 支持10bit色彩处理</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17. 支持Art-net灯光协议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18. 支持软件控制</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2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型号：有源三分频音柱音响</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参数：</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(-3 dB)1:50 Hz to 17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(-6 dB)1: 45 Hz to 18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(-10 dB)1: 40 Hz to 20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覆盖范围 (-6dB) [H x V]: 130° x 20°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最大声压级2:137 dB</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二</w:t>
            </w:r>
          </w:p>
        </w:tc>
        <w:tc>
          <w:tcPr>
            <w:tcW w:w="1514" w:type="pct"/>
            <w:tcBorders>
              <w:top w:val="single" w:color="000000" w:sz="4" w:space="0"/>
              <w:left w:val="single" w:color="000000" w:sz="4" w:space="0"/>
              <w:bottom w:val="single" w:color="000000" w:sz="4" w:space="0"/>
              <w:right w:val="single" w:color="000000" w:sz="4" w:space="0"/>
            </w:tcBorders>
            <w:shd w:val="clear" w:color="auto" w:fill="FADAD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光影立方（广场 ）</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01</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LED屏幕搭建与拆除</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冰屏P2.5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144</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02</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2.0*2.0*12米*1个+2.0*2.0*10米*2个+2.0*2.0*8米*2个</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立方米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192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染色灯</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全彩200w</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盏</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04</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灯光控台</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DMX512小控台</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05</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视频播控系统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06</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双15寸户外防水带功放全频音箱，                     声压级137DB以上</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07</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供电及控制系统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林间光絮（2棵）</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钢架租赁</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4*4*12米*2处</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防水光束灯</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380或480防水光束灯，ACME等同级品牌</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雾森系统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雾森系统用于两棵高12米、直径10米树冠的树周边的雾气生成。景观级小型高压主机2台（功率 0.8kW，压力3-5MPa，流量 8L/h，IP67防水，支持定时控制）；约120米8mm食品级PE管（工作压力8MPa）+ 6mm分支管；以及配套不锈钢超细雾喷头（雾粒5-10μm，流量0.2L/h，IP68防水，角度120）；智能控制器。用于</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气泡机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双轮气泡机（功率200-300W，覆盖范围 200㎡，泡泡直径 2-5cm，IP65 防水，支持 DMX512 控制）；食品级环保泡泡油10升（无刺激、无残留、漂浮时间长）；DMX512控制。</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供电系统与灯控</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50米供电距离，室外电缆及保护措施，DMX512小控台</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搭建与拆除人工机械</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钢架搭建、灯具、线路安装与调试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四</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光语织廊</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纱幕</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投影专用纱幕 30米宽，5米高</w:t>
            </w:r>
          </w:p>
        </w:tc>
        <w:tc>
          <w:tcPr>
            <w:tcW w:w="2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2*2*2钢架及平台板</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激光工程投影机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Autospacing="0"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光通量： 8000 流明</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分辨率：WUXGA</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型号：有源三分频音柱音响</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参数：</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(-3 dB)1:50 Hz to 17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(-6 dB)1: 45 Hz to 18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(-10 dB)1: 40 Hz to 20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覆盖范围 (-6dB) [H x V]: 130° x 20°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最大声压级2:137 dB</w:t>
            </w:r>
          </w:p>
        </w:tc>
        <w:tc>
          <w:tcPr>
            <w:tcW w:w="2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五</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 xml:space="preserve"> 星光叠映（林间小屋）</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激光工程投影机LEP-50A（含镜头/含适配水冷机）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光源类型 三基色RGB激光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光通量典型值 8000 流明</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光学引擎  3片 DMD DLP</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HDMI,单模单纤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100米供电距离，室外电缆及保护措施</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型号：有源三分频音柱音响</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参数：</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(-3 dB)1:50 Hz to 17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(-6 dB)1: 45 Hz to 18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(-10 dB)1: 40 Hz to 20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覆盖范围 (-6dB) [H x V]: 130° x 20°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最大声压级2:137 dB</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六</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夜彩奇遇境</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气模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借用，仅运费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100米供电距离，室外电缆及保护措施</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搭建与拆除人工机械</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七</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 xml:space="preserve">绿野光踪 </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激光工程投影机32000流明投影机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光通量：32000 流明</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分辨率：1920*1200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显示技术：3片DLP /0.96英寸</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光源：红蓝双色激光</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光源寿命：20000小时</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电源：220~240V 50/60 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 功耗：2450W</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 噪音：49dB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 尺寸：598 x 353 x 780 mm</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 重量：68.6kg （不含镜头）</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 工作温度：0–45 °C</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 工作湿度10–80 %（无冷凝）</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 3D立体</w:t>
            </w:r>
          </w:p>
        </w:tc>
        <w:tc>
          <w:tcPr>
            <w:tcW w:w="2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9"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型号：有源三分频音柱音响</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参数：</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(-3 dB)1:50 Hz to 17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(-6 dB)1: 45 Hz to 18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频率响应范围 (-10 dB)1: 40 Hz to 20 kHz</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覆盖范围 (-6dB) [H x V]: 130° x 20°</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最大声压级2:137 dB</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八</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钻石穹顶（玻璃房+动态图案光）</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染色灯</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全彩200w</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供电系统与灯控</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50米供电距离，室外电缆及保护措施，DMX512小控台</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灯具安装</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九</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环境氛围</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染色灯</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全彩200w</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300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供电系统与灯控</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200米供电距离，室外电缆及保护措施，MA控台+npu1台+放大器2台</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搭建、拆除、日常运行管理</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旷野之息（圆馆）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LED屏幕搭建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500*1000mm模块LED，P3.9</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RTX4070/4080、32GB RAM 、2TB SSD</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配件及配套线材A</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网线RJ45的10米</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条</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配件及配套线材B</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网线RJ45的5米192条、10米160条、3米240条、1.5米256条，1U交换机70台</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十一</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交互影像（圆馆）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5米*3米*6间</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9"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LED屏幕</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5米*3米*6间，P3</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山水城自有，仅安装费，也可用投影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动作采集设备</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Kinect2.0</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图形工作站</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RTX4070/4080、32GB RAM 、2TB SSD</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摄像头万向支架</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伸缩范围2-3.5米，承重5KG，壁挂式</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HDMI光纤线</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15米 4K 60HZ</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条</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摄像头线缆</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USB3.0延长线，主动式10米带信号增强</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条</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电源线</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3*1.5平方 10米 国标三插</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条</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PDU电源分配器</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8位独立开关，防雷，防电涌</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线缆理线系统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PVC理线槽40*40mm、固线器</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电脑音响</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主供电系统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200米（3相φ50铜缆）供电距离，室外电缆及保护措施、8路电气控制箱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技术服务（搭建、调试）</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十二</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社交空间（包括走秀）</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6米*4米  </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T台搭建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60米*4米</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240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LED屏幕搭建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P3.9</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LED媒体服务器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摇头切割灯</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ACME XA1000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控台</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 Grand MA2 </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张</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200米供电距离，室外电缆及保护措施、8路电气控制箱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灯具安装、融合、调试、运行保障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11</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灯控师</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4套8+4线阵音响                              （单元尺寸十寸级以上）</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租赁，安装1天，调试2天，展演1天，拆除1天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十三</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时空之塔（方馆）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载体搭建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40*60矩管造型钢架多层板基层、石膏板面层、刷白,5米高，边长2.4/1.92/1.92/1.44/1.44/0.96/0.96/0.48/0.32米六边形*每层0.75米高叠加造型；或者同尺寸使用泡雕造型</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8000流明</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仅为7天的安装调试，不含3个月运行管理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12寸带功放全频音箱，120DB</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100米（三相φ35电缆）供电距离，室外电缆及保护措施、8路电气控制箱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十四</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方筑光域（方馆）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3米*3米*6米立方体造型</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40*60矩管造型钢架多层板基层、石膏板面层、刷白,3宽*3宽*6米高，；或者同尺寸使用泡雕造型</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8000流明</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融合服务器STAR-D1</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定制主机，cpu:I7,DDR4 32g,WX9100，SSD:480G,HHD：2T</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3"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融合软件STAR-D1</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1、融合方式：与需要融合的内容无关用于运行多媒体程序、Flash动画、3D动画、影音、即时三维游戏。</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2、1通道平面/弧面融合/S形曲面及不规则幕面校正；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3、像素级别几何校正；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4、融合精度：1/16个像素</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5、融合速度：1通道 240帧/秒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6、最高分辨率：4K；（投影机输出分辨率为 1024*768P）</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投影安装、融合、调试、运行保障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仅为7天的安装调试，不含3个月运行管理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12寸带功放全频音箱，120DB</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100米（三相φ35电缆）供电距离，室外电缆及保护措施、8路电气控制箱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十五</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无垠视界（方馆）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七天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灯光钢架搭建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60米*6米*4米  </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摇头染色灯</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ACME\EK等同级品牌  功率750W及以上</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四合一灯光</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ACME\EK等同级品牌  功率500W及以上</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频闪灯</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ACME\EK等同级品牌  功率400W及以上</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雾机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MDJ/theONETM</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控台</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 Grand MA2 </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张</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灯具安装与调试</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灯控师</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4+2线阵音响（单元尺寸十寸级以上）</w:t>
            </w:r>
          </w:p>
        </w:tc>
        <w:tc>
          <w:tcPr>
            <w:tcW w:w="2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租赁，安装1天，调试2天，展演3天，拆除1天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十六</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3Dmaping展演（方馆）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投影载体搭建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12米宽*4.5米高与12米*5米高泡雕，表面平整处理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8000流明</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8"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多媒体服务器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 支持4路全高清视频输出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 标准4U机架机箱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 内存32GB</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 装机硬盘容量1TB(读取速度3500MB/S)</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 专业显卡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 Windows 10专业版</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2"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融合软件S3</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1.支持无压缩全分辨率和帧速率播放；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2.支持任何分辨率的视频内容；</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3.支持时间轴模式编辑；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4.支持3D立体投影；</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5.支持采集卡；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6.支持NDI及实时IP产生式工作流；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7.不限制显示设备的扩展；</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8.支持实时效果预览；</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9.支持多通道音频播放；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10.支持特效编辑；</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11.支持几何矫正；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12.支持ArtNet/DMX512协议；</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13.支持MIDI协议；</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光端机</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DVI,单模单纤</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套</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线材</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含独立声卡、光纤辅助设备、XLR线材、DMX线材、中控控制线材等辅助类线材</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投影融合、调试、运行保障</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仅为7天的安装调试，不含3个月运行管理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音响系统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双12寸户外防水带功放全频音箱，120DB</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购买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十七</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纱幕（方馆）</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纱幕搭建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8米*5米，6块</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投影机</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8000流明</w:t>
            </w: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台</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山水城自有，仅安装费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播控服务器</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定制主机</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技术调试</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技术工程师</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仅为3天的安装调试，不含3个月运行管理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供电系统</w:t>
            </w:r>
          </w:p>
        </w:tc>
        <w:tc>
          <w:tcPr>
            <w:tcW w:w="2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50米供电距离，室外电缆及保护措施、8路电气控制箱</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租期三个月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十八</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方馆、圆馆展演设备运行管理维护</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投影技术人员</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90</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灯光音响技术人员</w:t>
            </w:r>
          </w:p>
        </w:tc>
        <w:tc>
          <w:tcPr>
            <w:tcW w:w="21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人</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90</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三个月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直接费合计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十九</w:t>
            </w:r>
          </w:p>
        </w:tc>
        <w:tc>
          <w:tcPr>
            <w:tcW w:w="151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20"/>
                <w:szCs w:val="20"/>
                <w:u w:val="none"/>
              </w:rPr>
            </w:pPr>
            <w:r>
              <w:rPr>
                <w:rFonts w:hint="eastAsia" w:ascii="方正仿宋_GBK" w:hAnsi="方正仿宋_GBK" w:eastAsia="方正仿宋_GBK" w:cs="方正仿宋_GBK"/>
                <w:b/>
                <w:bCs/>
                <w:i w:val="0"/>
                <w:iCs w:val="0"/>
                <w:color w:val="000000"/>
                <w:kern w:val="0"/>
                <w:sz w:val="20"/>
                <w:szCs w:val="20"/>
                <w:u w:val="none"/>
                <w:lang w:val="en-US" w:eastAsia="zh-CN" w:bidi="ar"/>
              </w:rPr>
              <w:t>管理费与税金</w:t>
            </w:r>
          </w:p>
        </w:tc>
        <w:tc>
          <w:tcPr>
            <w:tcW w:w="2167" w:type="dxa"/>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20"/>
                <w:szCs w:val="2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20"/>
                <w:szCs w:val="20"/>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FADADE"/>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管理费5%</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税金6%</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项</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小计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1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b/>
                <w:bCs/>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项目合计</w:t>
            </w:r>
          </w:p>
        </w:tc>
        <w:tc>
          <w:tcPr>
            <w:tcW w:w="2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left"/>
              <w:rPr>
                <w:rFonts w:hint="eastAsia" w:ascii="方正仿宋_GBK" w:hAnsi="方正仿宋_GBK" w:eastAsia="方正仿宋_GBK" w:cs="方正仿宋_GBK"/>
                <w:i w:val="0"/>
                <w:iCs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方正仿宋_GBK" w:hAnsi="方正仿宋_GBK" w:eastAsia="方正仿宋_GBK" w:cs="方正仿宋_GBK"/>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b/>
                <w:bCs/>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说明：本清单及报价不含活动期间安保费与电费</w:t>
            </w:r>
          </w:p>
        </w:tc>
      </w:tr>
    </w:tbl>
    <w:p>
      <w:pPr>
        <w:pStyle w:val="2"/>
        <w:ind w:left="0" w:leftChars="0" w:firstLine="0" w:firstLineChars="0"/>
        <w:rPr>
          <w:rFonts w:hint="eastAsia" w:ascii="方正仿宋_GBK" w:hAnsi="方正仿宋_GBK" w:eastAsia="方正仿宋_GBK" w:cs="方正仿宋_GBK"/>
          <w:color w:val="auto"/>
          <w:kern w:val="0"/>
          <w:sz w:val="32"/>
          <w:szCs w:val="32"/>
          <w:highlight w:val="none"/>
          <w:lang w:val="en-US" w:eastAsia="zh-CN"/>
        </w:rPr>
      </w:pPr>
    </w:p>
    <w:p>
      <w:pPr>
        <w:rPr>
          <w:rFonts w:hint="eastAsia" w:ascii="方正仿宋_GBK" w:hAnsi="方正仿宋_GBK" w:eastAsia="方正仿宋_GBK" w:cs="方正仿宋_GBK"/>
          <w:color w:val="auto"/>
          <w:kern w:val="0"/>
          <w:sz w:val="32"/>
          <w:szCs w:val="32"/>
          <w:highlight w:val="none"/>
          <w:lang w:val="en-US" w:eastAsia="zh-CN"/>
        </w:rPr>
      </w:pPr>
    </w:p>
    <w:p>
      <w:pPr>
        <w:rPr>
          <w:rFonts w:hint="eastAsia"/>
          <w:color w:val="auto"/>
          <w:highlight w:val="none"/>
        </w:rPr>
      </w:pPr>
    </w:p>
    <w:p>
      <w:pPr>
        <w:pStyle w:val="2"/>
        <w:rPr>
          <w:rFonts w:hint="eastAsia"/>
          <w:color w:val="auto"/>
          <w:highlight w:val="none"/>
        </w:rPr>
      </w:pPr>
    </w:p>
    <w:p>
      <w:pPr>
        <w:rPr>
          <w:rFonts w:hint="eastAsia"/>
        </w:rPr>
      </w:pPr>
    </w:p>
    <w:p>
      <w:pPr>
        <w:pStyle w:val="21"/>
        <w:rPr>
          <w:color w:val="auto"/>
          <w:highlight w:val="none"/>
        </w:rPr>
      </w:pPr>
    </w:p>
    <w:p>
      <w:pPr>
        <w:pStyle w:val="21"/>
        <w:rPr>
          <w:color w:val="auto"/>
          <w:highlight w:val="none"/>
        </w:rPr>
      </w:pPr>
    </w:p>
    <w:p>
      <w:pPr>
        <w:spacing w:after="260"/>
        <w:jc w:val="center"/>
        <w:outlineLvl w:val="2"/>
        <w:rPr>
          <w:rFonts w:ascii="宋体" w:hAnsi="宋体"/>
          <w:snapToGrid w:val="0"/>
          <w:color w:val="auto"/>
          <w:kern w:val="0"/>
          <w:szCs w:val="21"/>
          <w:highlight w:val="none"/>
        </w:rPr>
      </w:pPr>
      <w:r>
        <w:rPr>
          <w:rFonts w:hint="eastAsia" w:ascii="宋体" w:hAnsi="宋体"/>
          <w:b/>
          <w:bCs/>
          <w:snapToGrid w:val="0"/>
          <w:color w:val="auto"/>
          <w:sz w:val="32"/>
          <w:szCs w:val="40"/>
          <w:highlight w:val="none"/>
        </w:rPr>
        <w:t>2.</w:t>
      </w:r>
      <w:r>
        <w:rPr>
          <w:rFonts w:ascii="宋体" w:hAnsi="宋体"/>
          <w:b/>
          <w:bCs/>
          <w:color w:val="auto"/>
          <w:sz w:val="32"/>
          <w:szCs w:val="40"/>
          <w:highlight w:val="none"/>
        </w:rPr>
        <w:t>法定代表人身份证明及授权委托书</w:t>
      </w:r>
      <w:bookmarkEnd w:id="78"/>
      <w:bookmarkEnd w:id="79"/>
    </w:p>
    <w:p>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名称）的法定代表人。</w:t>
      </w:r>
    </w:p>
    <w:p>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ascii="宋体" w:hAnsi="宋体"/>
          <w:color w:val="auto"/>
          <w:kern w:val="0"/>
          <w:szCs w:val="21"/>
          <w:highlight w:val="none"/>
        </w:rPr>
        <w:t>特此证明。</w:t>
      </w:r>
    </w:p>
    <w:tbl>
      <w:tblPr>
        <w:tblStyle w:val="54"/>
        <w:tblpPr w:leftFromText="180" w:rightFromText="180" w:vertAnchor="text" w:horzAnchor="margin" w:tblpXSpec="center" w:tblpY="81"/>
        <w:tblW w:w="0" w:type="auto"/>
        <w:jc w:val="center"/>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5243"/>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jc w:val="center"/>
        </w:trPr>
        <w:tc>
          <w:tcPr>
            <w:tcW w:w="5243"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法定代表人身份证复印件双面</w:t>
            </w:r>
          </w:p>
          <w:p>
            <w:pPr>
              <w:spacing w:line="360" w:lineRule="auto"/>
              <w:jc w:val="center"/>
              <w:rPr>
                <w:rFonts w:hint="eastAsia" w:ascii="宋体" w:hAnsi="宋体" w:cs="宋体"/>
                <w:b/>
                <w:color w:val="auto"/>
                <w:szCs w:val="21"/>
                <w:highlight w:val="none"/>
              </w:rPr>
            </w:pPr>
          </w:p>
        </w:tc>
      </w:tr>
    </w:tbl>
    <w:p>
      <w:pPr>
        <w:autoSpaceDE w:val="0"/>
        <w:autoSpaceDN w:val="0"/>
        <w:adjustRightInd w:val="0"/>
        <w:snapToGrid w:val="0"/>
        <w:spacing w:line="480" w:lineRule="auto"/>
        <w:ind w:firstLine="810" w:firstLineChars="386"/>
        <w:jc w:val="center"/>
        <w:rPr>
          <w:rFonts w:hint="eastAsia" w:ascii="宋体" w:hAnsi="宋体"/>
          <w:color w:val="auto"/>
          <w:kern w:val="0"/>
          <w:szCs w:val="21"/>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p>
    <w:p>
      <w:pPr>
        <w:autoSpaceDE w:val="0"/>
        <w:autoSpaceDN w:val="0"/>
        <w:adjustRightInd w:val="0"/>
        <w:snapToGrid w:val="0"/>
        <w:spacing w:line="480" w:lineRule="auto"/>
        <w:ind w:firstLine="772" w:firstLineChars="386"/>
        <w:jc w:val="left"/>
        <w:rPr>
          <w:rFonts w:hint="eastAsia" w:ascii="宋体" w:hAnsi="宋体"/>
          <w:color w:val="auto"/>
          <w:kern w:val="0"/>
          <w:sz w:val="20"/>
          <w:szCs w:val="20"/>
          <w:highlight w:val="none"/>
        </w:rPr>
      </w:pP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5460"/>
        </w:tabs>
        <w:autoSpaceDE w:val="0"/>
        <w:autoSpaceDN w:val="0"/>
        <w:adjustRightInd w:val="0"/>
        <w:snapToGrid w:val="0"/>
        <w:spacing w:line="480" w:lineRule="auto"/>
        <w:ind w:firstLine="2100"/>
        <w:jc w:val="right"/>
        <w:rPr>
          <w:rFonts w:hint="eastAsia"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w:t>
      </w:r>
      <w:r>
        <w:rPr>
          <w:rFonts w:hint="eastAsia" w:ascii="宋体" w:hAnsi="宋体"/>
          <w:color w:val="auto"/>
          <w:kern w:val="0"/>
          <w:szCs w:val="21"/>
          <w:highlight w:val="none"/>
        </w:rPr>
        <w:t>公</w:t>
      </w:r>
      <w:r>
        <w:rPr>
          <w:rFonts w:ascii="宋体" w:hAnsi="宋体"/>
          <w:color w:val="auto"/>
          <w:kern w:val="0"/>
          <w:szCs w:val="21"/>
          <w:highlight w:val="none"/>
        </w:rPr>
        <w:t>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12"/>
          <w:szCs w:val="12"/>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（姓名）为我方代理人。代理人根据授权，以我方名义签署、递交、撤回、修改</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pPr>
        <w:autoSpaceDE w:val="0"/>
        <w:autoSpaceDN w:val="0"/>
        <w:adjustRightInd w:val="0"/>
        <w:snapToGrid w:val="0"/>
        <w:spacing w:line="480" w:lineRule="auto"/>
        <w:jc w:val="left"/>
        <w:rPr>
          <w:rFonts w:hint="eastAsia" w:ascii="宋体" w:hAnsi="宋体"/>
          <w:color w:val="auto"/>
          <w:kern w:val="0"/>
          <w:sz w:val="20"/>
          <w:szCs w:val="20"/>
          <w:highlight w:val="none"/>
        </w:rPr>
      </w:pPr>
    </w:p>
    <w:tbl>
      <w:tblPr>
        <w:tblStyle w:val="54"/>
        <w:tblpPr w:leftFromText="180" w:rightFromText="180" w:vertAnchor="text" w:horzAnchor="margin" w:tblpY="81"/>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815"/>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trPr>
        <w:tc>
          <w:tcPr>
            <w:tcW w:w="3815"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法定代表人身份证复印件双面</w:t>
            </w:r>
          </w:p>
          <w:p>
            <w:pPr>
              <w:spacing w:line="360" w:lineRule="auto"/>
              <w:jc w:val="center"/>
              <w:rPr>
                <w:rFonts w:hint="eastAsia" w:ascii="宋体" w:hAnsi="宋体" w:cs="宋体"/>
                <w:b/>
                <w:color w:val="auto"/>
                <w:szCs w:val="21"/>
                <w:highlight w:val="none"/>
              </w:rPr>
            </w:pPr>
          </w:p>
        </w:tc>
      </w:tr>
    </w:tbl>
    <w:p>
      <w:pPr>
        <w:rPr>
          <w:vanish/>
          <w:color w:val="auto"/>
          <w:highlight w:val="none"/>
        </w:rPr>
      </w:pPr>
    </w:p>
    <w:tbl>
      <w:tblPr>
        <w:tblStyle w:val="54"/>
        <w:tblpPr w:leftFromText="180" w:rightFromText="180" w:vertAnchor="text" w:horzAnchor="page" w:tblpX="6047" w:tblpY="114"/>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980"/>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27" w:hRule="atLeast"/>
        </w:trPr>
        <w:tc>
          <w:tcPr>
            <w:tcW w:w="3980"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委托代理人身份证复印件双面</w:t>
            </w:r>
          </w:p>
          <w:p>
            <w:pPr>
              <w:spacing w:line="360" w:lineRule="auto"/>
              <w:jc w:val="center"/>
              <w:rPr>
                <w:rFonts w:hint="eastAsia" w:ascii="宋体" w:hAnsi="宋体" w:cs="宋体"/>
                <w:b/>
                <w:color w:val="auto"/>
                <w:szCs w:val="21"/>
                <w:highlight w:val="none"/>
              </w:rPr>
            </w:pPr>
          </w:p>
        </w:tc>
      </w:tr>
    </w:tbl>
    <w:p>
      <w:pPr>
        <w:autoSpaceDE w:val="0"/>
        <w:autoSpaceDN w:val="0"/>
        <w:adjustRightInd w:val="0"/>
        <w:snapToGrid w:val="0"/>
        <w:spacing w:line="480" w:lineRule="auto"/>
        <w:jc w:val="left"/>
        <w:rPr>
          <w:rFonts w:hint="eastAsia" w:ascii="宋体" w:hAnsi="宋体"/>
          <w:color w:val="auto"/>
          <w:kern w:val="0"/>
          <w:sz w:val="20"/>
          <w:szCs w:val="20"/>
          <w:highlight w:val="non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pPr>
        <w:spacing w:line="360" w:lineRule="auto"/>
        <w:ind w:firstLine="422" w:firstLineChars="200"/>
        <w:rPr>
          <w:rFonts w:ascii="宋体" w:hAnsi="宋体"/>
          <w:color w:val="auto"/>
          <w:highlight w:val="none"/>
        </w:rPr>
      </w:pPr>
      <w:r>
        <w:rPr>
          <w:rFonts w:hint="eastAsia" w:ascii="宋体" w:hAnsi="宋体" w:cs="宋体"/>
          <w:b/>
          <w:bCs/>
          <w:color w:val="auto"/>
          <w:kern w:val="0"/>
          <w:szCs w:val="21"/>
          <w:highlight w:val="none"/>
        </w:rPr>
        <w:t>注：法定代表人身份证明及授权委托书须另外准备一份原件，随</w:t>
      </w:r>
      <w:r>
        <w:rPr>
          <w:rFonts w:hint="eastAsia" w:ascii="宋体" w:hAnsi="宋体" w:cs="宋体"/>
          <w:b/>
          <w:bCs/>
          <w:color w:val="auto"/>
          <w:kern w:val="0"/>
          <w:szCs w:val="21"/>
          <w:highlight w:val="none"/>
          <w:lang w:eastAsia="zh-CN"/>
        </w:rPr>
        <w:t>参选</w:t>
      </w:r>
      <w:r>
        <w:rPr>
          <w:rFonts w:hint="eastAsia" w:ascii="宋体" w:hAnsi="宋体" w:cs="宋体"/>
          <w:b/>
          <w:bCs/>
          <w:color w:val="auto"/>
          <w:kern w:val="0"/>
          <w:szCs w:val="21"/>
          <w:highlight w:val="none"/>
        </w:rPr>
        <w:t>文件一并递交</w:t>
      </w:r>
      <w:r>
        <w:rPr>
          <w:rFonts w:ascii="宋体" w:hAnsi="宋体"/>
          <w:color w:val="auto"/>
          <w:highlight w:val="none"/>
        </w:rPr>
        <w:t>。</w:t>
      </w:r>
    </w:p>
    <w:p>
      <w:pPr>
        <w:rPr>
          <w:rFonts w:hint="eastAsia"/>
          <w:color w:val="auto"/>
          <w:sz w:val="36"/>
          <w:szCs w:val="44"/>
          <w:highlight w:val="none"/>
        </w:rPr>
      </w:pPr>
      <w:bookmarkStart w:id="80" w:name="_Toc42269745"/>
      <w:bookmarkStart w:id="81" w:name="_Toc430530545"/>
      <w:bookmarkStart w:id="82" w:name="_Toc287607882"/>
      <w:bookmarkStart w:id="83" w:name="_Toc32678"/>
      <w:bookmarkStart w:id="84" w:name="_Toc287620829"/>
      <w:bookmarkStart w:id="85" w:name="_Toc224103510"/>
      <w:bookmarkStart w:id="86" w:name="_Toc277082656"/>
      <w:bookmarkStart w:id="87" w:name="_Toc14443"/>
      <w:bookmarkStart w:id="88" w:name="_Toc16263"/>
    </w:p>
    <w:p>
      <w:pPr>
        <w:jc w:val="center"/>
        <w:outlineLvl w:val="1"/>
        <w:rPr>
          <w:rFonts w:hint="eastAsia"/>
          <w:color w:val="auto"/>
          <w:sz w:val="36"/>
          <w:szCs w:val="44"/>
          <w:highlight w:val="none"/>
        </w:rPr>
      </w:pPr>
    </w:p>
    <w:p>
      <w:pPr>
        <w:jc w:val="center"/>
        <w:outlineLvl w:val="1"/>
        <w:rPr>
          <w:rFonts w:hint="eastAsia"/>
          <w:color w:val="auto"/>
          <w:sz w:val="36"/>
          <w:szCs w:val="44"/>
          <w:highlight w:val="none"/>
        </w:rPr>
      </w:pPr>
    </w:p>
    <w:p>
      <w:pPr>
        <w:jc w:val="center"/>
        <w:outlineLvl w:val="1"/>
        <w:rPr>
          <w:rFonts w:hint="eastAsia"/>
          <w:color w:val="auto"/>
          <w:sz w:val="36"/>
          <w:szCs w:val="44"/>
          <w:highlight w:val="none"/>
        </w:rPr>
      </w:pPr>
    </w:p>
    <w:p>
      <w:pPr>
        <w:rPr>
          <w:rFonts w:hint="eastAsia"/>
          <w:color w:val="auto"/>
          <w:sz w:val="36"/>
          <w:szCs w:val="44"/>
          <w:highlight w:val="none"/>
        </w:rPr>
      </w:pPr>
    </w:p>
    <w:p>
      <w:pPr>
        <w:jc w:val="center"/>
        <w:outlineLvl w:val="1"/>
        <w:rPr>
          <w:rFonts w:hint="eastAsia"/>
          <w:color w:val="auto"/>
          <w:highlight w:val="none"/>
        </w:rPr>
      </w:pPr>
      <w:r>
        <w:rPr>
          <w:rFonts w:hint="eastAsia"/>
          <w:color w:val="auto"/>
          <w:sz w:val="36"/>
          <w:szCs w:val="44"/>
          <w:highlight w:val="none"/>
          <w:lang w:val="en-US" w:eastAsia="zh-CN"/>
        </w:rPr>
        <w:t>二</w:t>
      </w:r>
      <w:r>
        <w:rPr>
          <w:rFonts w:hint="eastAsia"/>
          <w:color w:val="auto"/>
          <w:sz w:val="36"/>
          <w:szCs w:val="44"/>
          <w:highlight w:val="none"/>
        </w:rPr>
        <w:t>、资格审查部分</w:t>
      </w:r>
      <w:r>
        <w:rPr>
          <w:rFonts w:hint="eastAsia"/>
          <w:color w:val="auto"/>
          <w:highlight w:val="none"/>
        </w:rPr>
        <w:br w:type="page"/>
      </w:r>
    </w:p>
    <w:p>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w:t>
      </w:r>
      <w:r>
        <w:rPr>
          <w:rFonts w:hint="eastAsia" w:ascii="宋体" w:hAnsi="宋体"/>
          <w:color w:val="auto"/>
          <w:kern w:val="0"/>
          <w:sz w:val="32"/>
          <w:szCs w:val="32"/>
          <w:highlight w:val="none"/>
        </w:rPr>
        <w:t>（项目名称）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lang w:eastAsia="zh-CN"/>
        </w:rPr>
        <w:t>参选</w:t>
      </w:r>
      <w:r>
        <w:rPr>
          <w:rFonts w:hint="eastAsia" w:ascii="宋体" w:hAnsi="宋体"/>
          <w:color w:val="auto"/>
          <w:kern w:val="0"/>
          <w:sz w:val="72"/>
          <w:szCs w:val="72"/>
          <w:highlight w:val="none"/>
        </w:rPr>
        <w:t>文件</w:t>
      </w:r>
    </w:p>
    <w:p>
      <w:pPr>
        <w:autoSpaceDE w:val="0"/>
        <w:autoSpaceDN w:val="0"/>
        <w:adjustRightInd w:val="0"/>
        <w:snapToGrid w:val="0"/>
        <w:spacing w:line="360" w:lineRule="auto"/>
        <w:jc w:val="center"/>
        <w:rPr>
          <w:rFonts w:hint="eastAsia" w:ascii="宋体" w:hAnsi="宋体"/>
          <w:b/>
          <w:bCs/>
          <w:color w:val="auto"/>
          <w:kern w:val="0"/>
          <w:sz w:val="40"/>
          <w:szCs w:val="40"/>
          <w:highlight w:val="none"/>
        </w:rPr>
      </w:pPr>
      <w:r>
        <w:rPr>
          <w:rFonts w:hint="eastAsia" w:ascii="宋体" w:hAnsi="宋体"/>
          <w:b/>
          <w:bCs/>
          <w:color w:val="auto"/>
          <w:kern w:val="0"/>
          <w:sz w:val="40"/>
          <w:szCs w:val="40"/>
          <w:highlight w:val="none"/>
        </w:rPr>
        <w:t>（资格审查部分）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60" w:afterLines="50" w:line="360" w:lineRule="auto"/>
        <w:jc w:val="center"/>
        <w:rPr>
          <w:rFonts w:ascii="宋体" w:hAnsi="宋体"/>
          <w:color w:val="auto"/>
          <w:w w:val="99"/>
          <w:kern w:val="0"/>
          <w:sz w:val="28"/>
          <w:szCs w:val="28"/>
          <w:highlight w:val="none"/>
        </w:rPr>
      </w:pPr>
      <w:r>
        <w:rPr>
          <w:rFonts w:hint="eastAsia" w:ascii="宋体" w:hAnsi="宋体"/>
          <w:color w:val="auto"/>
          <w:spacing w:val="1"/>
          <w:w w:val="99"/>
          <w:kern w:val="0"/>
          <w:sz w:val="28"/>
          <w:szCs w:val="28"/>
          <w:highlight w:val="none"/>
          <w:lang w:eastAsia="zh-CN"/>
        </w:rPr>
        <w:t>参选</w:t>
      </w:r>
      <w:r>
        <w:rPr>
          <w:rFonts w:hint="eastAsia" w:ascii="宋体" w:hAnsi="宋体"/>
          <w:color w:val="auto"/>
          <w:spacing w:val="1"/>
          <w:w w:val="99"/>
          <w:kern w:val="0"/>
          <w:sz w:val="28"/>
          <w:szCs w:val="28"/>
          <w:highlight w:val="none"/>
        </w:rPr>
        <w:t>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w:t>
      </w:r>
      <w:r>
        <w:rPr>
          <w:rFonts w:hint="eastAsia" w:ascii="宋体" w:hAnsi="宋体"/>
          <w:color w:val="auto"/>
          <w:w w:val="99"/>
          <w:kern w:val="0"/>
          <w:sz w:val="28"/>
          <w:szCs w:val="28"/>
          <w:highlight w:val="none"/>
        </w:rPr>
        <w:t>公</w:t>
      </w:r>
      <w:r>
        <w:rPr>
          <w:rFonts w:ascii="宋体" w:hAnsi="宋体"/>
          <w:color w:val="auto"/>
          <w:w w:val="99"/>
          <w:kern w:val="0"/>
          <w:sz w:val="28"/>
          <w:szCs w:val="28"/>
          <w:highlight w:val="none"/>
        </w:rPr>
        <w:t>章）</w:t>
      </w:r>
    </w:p>
    <w:p>
      <w:pPr>
        <w:tabs>
          <w:tab w:val="left" w:pos="6080"/>
          <w:tab w:val="left" w:pos="6640"/>
        </w:tabs>
        <w:autoSpaceDE w:val="0"/>
        <w:autoSpaceDN w:val="0"/>
        <w:adjustRightInd w:val="0"/>
        <w:snapToGrid w:val="0"/>
        <w:spacing w:after="160"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pPr>
        <w:spacing w:line="360" w:lineRule="auto"/>
        <w:jc w:val="center"/>
        <w:rPr>
          <w:rFonts w:hint="eastAsia" w:ascii="宋体" w:hAnsi="宋体"/>
          <w:color w:val="auto"/>
          <w:w w:val="99"/>
          <w:kern w:val="0"/>
          <w:sz w:val="28"/>
          <w:szCs w:val="28"/>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bookmarkEnd w:id="80"/>
      <w:bookmarkEnd w:id="81"/>
      <w:bookmarkEnd w:id="82"/>
      <w:bookmarkEnd w:id="83"/>
      <w:bookmarkEnd w:id="84"/>
      <w:bookmarkEnd w:id="85"/>
      <w:bookmarkEnd w:id="86"/>
      <w:bookmarkEnd w:id="87"/>
      <w:bookmarkEnd w:id="88"/>
    </w:p>
    <w:p>
      <w:pPr>
        <w:jc w:val="center"/>
        <w:rPr>
          <w:rFonts w:hint="eastAsia"/>
          <w:color w:val="auto"/>
          <w:highlight w:val="none"/>
        </w:rPr>
      </w:pPr>
      <w:r>
        <w:rPr>
          <w:rFonts w:hint="eastAsia"/>
          <w:color w:val="auto"/>
          <w:highlight w:val="none"/>
        </w:rPr>
        <w:br w:type="page"/>
      </w:r>
      <w:r>
        <w:rPr>
          <w:rFonts w:hint="eastAsia"/>
          <w:color w:val="auto"/>
          <w:sz w:val="36"/>
          <w:szCs w:val="44"/>
          <w:highlight w:val="none"/>
        </w:rPr>
        <w:t>目  录</w:t>
      </w:r>
    </w:p>
    <w:p>
      <w:pPr>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rPr>
        <w:tab/>
      </w:r>
      <w:r>
        <w:rPr>
          <w:rFonts w:hint="eastAsia" w:ascii="宋体" w:hAnsi="宋体"/>
          <w:color w:val="auto"/>
          <w:szCs w:val="21"/>
          <w:highlight w:val="none"/>
        </w:rPr>
        <w:t>法定代表人身份证明及授权委托书</w:t>
      </w:r>
    </w:p>
    <w:p>
      <w:pPr>
        <w:rPr>
          <w:rFonts w:hint="default" w:ascii="宋体" w:hAnsi="宋体" w:eastAsia="宋体"/>
          <w:color w:val="auto"/>
          <w:szCs w:val="21"/>
          <w:highlight w:val="none"/>
          <w:lang w:val="en-US" w:eastAsia="zh-CN"/>
        </w:rPr>
      </w:pPr>
      <w:r>
        <w:rPr>
          <w:rFonts w:hint="eastAsia" w:ascii="宋体" w:hAnsi="宋体"/>
          <w:color w:val="auto"/>
          <w:szCs w:val="21"/>
          <w:highlight w:val="none"/>
        </w:rPr>
        <w:t>2.</w:t>
      </w:r>
      <w:r>
        <w:rPr>
          <w:rFonts w:hint="eastAsia" w:ascii="宋体" w:hAnsi="宋体"/>
          <w:color w:val="auto"/>
          <w:szCs w:val="21"/>
          <w:highlight w:val="none"/>
        </w:rPr>
        <w:tab/>
      </w:r>
      <w:r>
        <w:rPr>
          <w:rFonts w:hint="eastAsia" w:ascii="宋体" w:hAnsi="宋体"/>
          <w:color w:val="auto"/>
          <w:szCs w:val="21"/>
          <w:highlight w:val="none"/>
          <w:lang w:eastAsia="zh-CN"/>
        </w:rPr>
        <w:t>参选</w:t>
      </w:r>
      <w:r>
        <w:rPr>
          <w:rFonts w:hint="eastAsia" w:ascii="宋体" w:hAnsi="宋体"/>
          <w:color w:val="auto"/>
          <w:szCs w:val="21"/>
          <w:highlight w:val="none"/>
        </w:rPr>
        <w:t>人</w:t>
      </w:r>
      <w:r>
        <w:rPr>
          <w:rFonts w:hint="eastAsia" w:ascii="宋体" w:hAnsi="宋体"/>
          <w:color w:val="auto"/>
          <w:szCs w:val="21"/>
          <w:highlight w:val="none"/>
          <w:lang w:val="en-US" w:eastAsia="zh-CN"/>
        </w:rPr>
        <w:t>营业执照</w:t>
      </w:r>
    </w:p>
    <w:p>
      <w:pPr>
        <w:rPr>
          <w:rFonts w:hint="default" w:ascii="宋体" w:hAnsi="宋体" w:eastAsia="宋体"/>
          <w:color w:val="auto"/>
          <w:szCs w:val="21"/>
          <w:highlight w:val="none"/>
          <w:lang w:val="en-US" w:eastAsia="zh-CN"/>
        </w:rPr>
      </w:pPr>
      <w:r>
        <w:rPr>
          <w:rFonts w:hint="eastAsia" w:ascii="宋体" w:hAnsi="宋体"/>
          <w:color w:val="auto"/>
          <w:szCs w:val="21"/>
          <w:highlight w:val="none"/>
        </w:rPr>
        <w:t>3.</w:t>
      </w:r>
      <w:r>
        <w:rPr>
          <w:rFonts w:hint="eastAsia" w:ascii="宋体" w:hAnsi="宋体"/>
          <w:color w:val="auto"/>
          <w:szCs w:val="21"/>
          <w:highlight w:val="none"/>
        </w:rPr>
        <w:tab/>
      </w:r>
      <w:r>
        <w:rPr>
          <w:rFonts w:hint="eastAsia" w:ascii="宋体" w:hAnsi="宋体"/>
          <w:color w:val="auto"/>
          <w:szCs w:val="21"/>
          <w:highlight w:val="none"/>
          <w:lang w:val="en-US" w:eastAsia="zh-CN"/>
        </w:rPr>
        <w:t>业绩证明材料</w:t>
      </w:r>
    </w:p>
    <w:p>
      <w:pPr>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rPr>
        <w:tab/>
      </w:r>
      <w:r>
        <w:rPr>
          <w:rFonts w:hint="eastAsia" w:ascii="宋体" w:hAnsi="宋体"/>
          <w:color w:val="auto"/>
          <w:szCs w:val="21"/>
          <w:highlight w:val="none"/>
          <w:lang w:eastAsia="zh-CN"/>
        </w:rPr>
        <w:t>参选</w:t>
      </w:r>
      <w:r>
        <w:rPr>
          <w:rFonts w:hint="eastAsia" w:ascii="宋体" w:hAnsi="宋体"/>
          <w:color w:val="auto"/>
          <w:szCs w:val="21"/>
          <w:highlight w:val="none"/>
        </w:rPr>
        <w:t>截止日</w:t>
      </w:r>
      <w:r>
        <w:rPr>
          <w:rFonts w:hint="eastAsia" w:ascii="宋体" w:hAnsi="宋体"/>
          <w:color w:val="auto"/>
          <w:szCs w:val="21"/>
          <w:highlight w:val="none"/>
          <w:lang w:eastAsia="zh-CN"/>
        </w:rPr>
        <w:t>参选</w:t>
      </w:r>
      <w:r>
        <w:rPr>
          <w:rFonts w:hint="eastAsia" w:ascii="宋体" w:hAnsi="宋体"/>
          <w:color w:val="auto"/>
          <w:szCs w:val="21"/>
          <w:highlight w:val="none"/>
        </w:rPr>
        <w:t>资格情况</w:t>
      </w:r>
    </w:p>
    <w:p>
      <w:pPr>
        <w:rPr>
          <w:color w:val="auto"/>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rPr>
        <w:tab/>
      </w:r>
      <w:r>
        <w:rPr>
          <w:rFonts w:hint="eastAsia" w:ascii="宋体" w:hAnsi="宋体"/>
          <w:color w:val="auto"/>
          <w:szCs w:val="21"/>
          <w:highlight w:val="none"/>
        </w:rPr>
        <w:t>其他资料</w:t>
      </w:r>
      <w:r>
        <w:rPr>
          <w:rFonts w:ascii="宋体" w:hAnsi="宋体"/>
          <w:color w:val="auto"/>
          <w:szCs w:val="21"/>
          <w:highlight w:val="none"/>
        </w:rPr>
        <w:tab/>
      </w:r>
      <w:r>
        <w:rPr>
          <w:color w:val="auto"/>
          <w:highlight w:val="none"/>
        </w:rPr>
        <w:br w:type="page"/>
      </w:r>
    </w:p>
    <w:p>
      <w:pPr>
        <w:spacing w:after="260"/>
        <w:jc w:val="center"/>
        <w:outlineLvl w:val="2"/>
        <w:rPr>
          <w:rFonts w:ascii="宋体" w:hAnsi="宋体"/>
          <w:snapToGrid w:val="0"/>
          <w:color w:val="auto"/>
          <w:kern w:val="0"/>
          <w:szCs w:val="21"/>
          <w:highlight w:val="none"/>
        </w:rPr>
      </w:pPr>
      <w:bookmarkStart w:id="89" w:name="_Toc42269747"/>
      <w:bookmarkStart w:id="90" w:name="_Toc23302"/>
      <w:bookmarkStart w:id="91" w:name="_Toc18837"/>
      <w:bookmarkStart w:id="92" w:name="_Toc12182"/>
      <w:bookmarkStart w:id="93" w:name="_Toc277082659"/>
      <w:bookmarkStart w:id="94" w:name="_Toc287607887"/>
      <w:r>
        <w:rPr>
          <w:rFonts w:hint="eastAsia" w:ascii="宋体" w:hAnsi="宋体"/>
          <w:b/>
          <w:bCs/>
          <w:color w:val="auto"/>
          <w:sz w:val="32"/>
          <w:szCs w:val="32"/>
          <w:highlight w:val="none"/>
        </w:rPr>
        <w:t>1</w:t>
      </w:r>
      <w:r>
        <w:rPr>
          <w:rFonts w:hint="eastAsia" w:ascii="宋体" w:hAnsi="宋体"/>
          <w:color w:val="auto"/>
          <w:sz w:val="32"/>
          <w:szCs w:val="32"/>
          <w:highlight w:val="none"/>
        </w:rPr>
        <w:t>.</w:t>
      </w:r>
      <w:r>
        <w:rPr>
          <w:rFonts w:ascii="宋体" w:hAnsi="宋体"/>
          <w:b/>
          <w:bCs/>
          <w:color w:val="auto"/>
          <w:sz w:val="32"/>
          <w:szCs w:val="32"/>
          <w:highlight w:val="none"/>
        </w:rPr>
        <w:t>法</w:t>
      </w:r>
      <w:r>
        <w:rPr>
          <w:rFonts w:ascii="宋体" w:hAnsi="宋体"/>
          <w:b/>
          <w:bCs/>
          <w:color w:val="auto"/>
          <w:sz w:val="32"/>
          <w:szCs w:val="40"/>
          <w:highlight w:val="none"/>
        </w:rPr>
        <w:t>定代表人身份证明及授权委托书</w:t>
      </w:r>
    </w:p>
    <w:p>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名称）的法定代表人。</w:t>
      </w:r>
    </w:p>
    <w:p>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ascii="宋体" w:hAnsi="宋体"/>
          <w:color w:val="auto"/>
          <w:kern w:val="0"/>
          <w:szCs w:val="21"/>
          <w:highlight w:val="none"/>
        </w:rPr>
        <w:t>特此证明。</w:t>
      </w:r>
    </w:p>
    <w:tbl>
      <w:tblPr>
        <w:tblStyle w:val="54"/>
        <w:tblpPr w:leftFromText="180" w:rightFromText="180" w:vertAnchor="text" w:horzAnchor="margin" w:tblpXSpec="center" w:tblpY="81"/>
        <w:tblW w:w="0" w:type="auto"/>
        <w:jc w:val="center"/>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5243"/>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jc w:val="center"/>
        </w:trPr>
        <w:tc>
          <w:tcPr>
            <w:tcW w:w="5243"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法定代表人身份证复印件双面</w:t>
            </w:r>
          </w:p>
          <w:p>
            <w:pPr>
              <w:spacing w:line="360" w:lineRule="auto"/>
              <w:jc w:val="center"/>
              <w:rPr>
                <w:rFonts w:hint="eastAsia" w:ascii="宋体" w:hAnsi="宋体" w:cs="宋体"/>
                <w:b/>
                <w:color w:val="auto"/>
                <w:szCs w:val="21"/>
                <w:highlight w:val="none"/>
              </w:rPr>
            </w:pPr>
          </w:p>
        </w:tc>
      </w:tr>
    </w:tbl>
    <w:p>
      <w:pPr>
        <w:autoSpaceDE w:val="0"/>
        <w:autoSpaceDN w:val="0"/>
        <w:adjustRightInd w:val="0"/>
        <w:snapToGrid w:val="0"/>
        <w:spacing w:line="480" w:lineRule="auto"/>
        <w:ind w:firstLine="810" w:firstLineChars="386"/>
        <w:jc w:val="center"/>
        <w:rPr>
          <w:rFonts w:hint="eastAsia" w:ascii="宋体" w:hAnsi="宋体"/>
          <w:color w:val="auto"/>
          <w:kern w:val="0"/>
          <w:szCs w:val="21"/>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p>
    <w:p>
      <w:pPr>
        <w:autoSpaceDE w:val="0"/>
        <w:autoSpaceDN w:val="0"/>
        <w:adjustRightInd w:val="0"/>
        <w:snapToGrid w:val="0"/>
        <w:spacing w:line="480" w:lineRule="auto"/>
        <w:ind w:firstLine="772" w:firstLineChars="386"/>
        <w:jc w:val="left"/>
        <w:rPr>
          <w:rFonts w:hint="eastAsia" w:ascii="宋体" w:hAnsi="宋体"/>
          <w:color w:val="auto"/>
          <w:kern w:val="0"/>
          <w:sz w:val="20"/>
          <w:szCs w:val="20"/>
          <w:highlight w:val="none"/>
        </w:rPr>
      </w:pP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5460"/>
        </w:tabs>
        <w:autoSpaceDE w:val="0"/>
        <w:autoSpaceDN w:val="0"/>
        <w:adjustRightInd w:val="0"/>
        <w:snapToGrid w:val="0"/>
        <w:spacing w:line="480" w:lineRule="auto"/>
        <w:ind w:firstLine="2100"/>
        <w:jc w:val="right"/>
        <w:rPr>
          <w:rFonts w:hint="eastAsia" w:ascii="宋体" w:hAnsi="宋体"/>
          <w:color w:val="auto"/>
          <w:kern w:val="0"/>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w:t>
      </w:r>
      <w:r>
        <w:rPr>
          <w:rFonts w:hint="eastAsia" w:ascii="宋体" w:hAnsi="宋体"/>
          <w:color w:val="auto"/>
          <w:kern w:val="0"/>
          <w:szCs w:val="21"/>
          <w:highlight w:val="none"/>
        </w:rPr>
        <w:t>公</w:t>
      </w:r>
      <w:r>
        <w:rPr>
          <w:rFonts w:ascii="宋体" w:hAnsi="宋体"/>
          <w:color w:val="auto"/>
          <w:kern w:val="0"/>
          <w:szCs w:val="21"/>
          <w:highlight w:val="none"/>
        </w:rPr>
        <w:t>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12"/>
          <w:szCs w:val="12"/>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（姓名）为我方代理人。代理人根据授权，以我方名义签署、递交、撤回、修改</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eastAsia="zh-CN"/>
        </w:rPr>
        <w:t>参选</w:t>
      </w:r>
      <w:r>
        <w:rPr>
          <w:rFonts w:hint="eastAsia" w:ascii="宋体" w:hAnsi="宋体"/>
          <w:color w:val="auto"/>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pPr>
        <w:autoSpaceDE w:val="0"/>
        <w:autoSpaceDN w:val="0"/>
        <w:adjustRightInd w:val="0"/>
        <w:snapToGrid w:val="0"/>
        <w:spacing w:line="480" w:lineRule="auto"/>
        <w:jc w:val="left"/>
        <w:rPr>
          <w:rFonts w:hint="eastAsia" w:ascii="宋体" w:hAnsi="宋体"/>
          <w:color w:val="auto"/>
          <w:kern w:val="0"/>
          <w:sz w:val="20"/>
          <w:szCs w:val="20"/>
          <w:highlight w:val="none"/>
        </w:rPr>
      </w:pPr>
    </w:p>
    <w:tbl>
      <w:tblPr>
        <w:tblStyle w:val="54"/>
        <w:tblpPr w:leftFromText="180" w:rightFromText="180" w:vertAnchor="text" w:horzAnchor="margin" w:tblpY="81"/>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815"/>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trPr>
        <w:tc>
          <w:tcPr>
            <w:tcW w:w="3815"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法定代表人身份证复印件双面</w:t>
            </w:r>
          </w:p>
          <w:p>
            <w:pPr>
              <w:spacing w:line="360" w:lineRule="auto"/>
              <w:jc w:val="center"/>
              <w:rPr>
                <w:rFonts w:hint="eastAsia" w:ascii="宋体" w:hAnsi="宋体" w:cs="宋体"/>
                <w:b/>
                <w:color w:val="auto"/>
                <w:szCs w:val="21"/>
                <w:highlight w:val="none"/>
              </w:rPr>
            </w:pPr>
          </w:p>
        </w:tc>
      </w:tr>
    </w:tbl>
    <w:p>
      <w:pPr>
        <w:rPr>
          <w:vanish/>
          <w:color w:val="auto"/>
          <w:highlight w:val="none"/>
        </w:rPr>
      </w:pPr>
    </w:p>
    <w:tbl>
      <w:tblPr>
        <w:tblStyle w:val="54"/>
        <w:tblpPr w:leftFromText="180" w:rightFromText="180" w:vertAnchor="text" w:horzAnchor="page" w:tblpX="6047" w:tblpY="114"/>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980"/>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27" w:hRule="atLeast"/>
        </w:trPr>
        <w:tc>
          <w:tcPr>
            <w:tcW w:w="3980" w:type="dxa"/>
            <w:noWrap w:val="0"/>
            <w:vAlign w:val="top"/>
          </w:tcPr>
          <w:p>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委托代理人身份证复印件双面</w:t>
            </w:r>
          </w:p>
          <w:p>
            <w:pPr>
              <w:spacing w:line="360" w:lineRule="auto"/>
              <w:jc w:val="center"/>
              <w:rPr>
                <w:rFonts w:hint="eastAsia" w:ascii="宋体" w:hAnsi="宋体" w:cs="宋体"/>
                <w:b/>
                <w:color w:val="auto"/>
                <w:szCs w:val="21"/>
                <w:highlight w:val="none"/>
              </w:rPr>
            </w:pPr>
          </w:p>
        </w:tc>
      </w:tr>
    </w:tbl>
    <w:p>
      <w:pPr>
        <w:autoSpaceDE w:val="0"/>
        <w:autoSpaceDN w:val="0"/>
        <w:adjustRightInd w:val="0"/>
        <w:snapToGrid w:val="0"/>
        <w:spacing w:line="480" w:lineRule="auto"/>
        <w:jc w:val="left"/>
        <w:rPr>
          <w:rFonts w:hint="eastAsia" w:ascii="宋体" w:hAnsi="宋体"/>
          <w:color w:val="auto"/>
          <w:kern w:val="0"/>
          <w:sz w:val="20"/>
          <w:szCs w:val="20"/>
          <w:highlight w:val="non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5760"/>
        </w:tabs>
        <w:autoSpaceDE w:val="0"/>
        <w:autoSpaceDN w:val="0"/>
        <w:adjustRightInd w:val="0"/>
        <w:spacing w:line="360" w:lineRule="auto"/>
        <w:ind w:firstLine="420" w:firstLineChars="200"/>
        <w:rPr>
          <w:rFonts w:hint="eastAsia" w:ascii="宋体" w:hAnsi="宋体"/>
          <w:color w:val="auto"/>
          <w:kern w:val="0"/>
          <w:highlight w:val="none"/>
        </w:rPr>
      </w:pPr>
    </w:p>
    <w:p>
      <w:pPr>
        <w:spacing w:line="360" w:lineRule="auto"/>
        <w:ind w:firstLine="422" w:firstLineChars="200"/>
        <w:rPr>
          <w:rFonts w:ascii="宋体" w:hAnsi="宋体"/>
          <w:color w:val="auto"/>
          <w:highlight w:val="none"/>
        </w:rPr>
      </w:pPr>
      <w:r>
        <w:rPr>
          <w:rFonts w:hint="eastAsia" w:ascii="宋体" w:hAnsi="宋体" w:cs="宋体"/>
          <w:b/>
          <w:bCs/>
          <w:color w:val="auto"/>
          <w:kern w:val="0"/>
          <w:szCs w:val="21"/>
          <w:highlight w:val="none"/>
        </w:rPr>
        <w:t>注：法定代表人身份证明及授权委托书须另外准备一份原件，随</w:t>
      </w:r>
      <w:r>
        <w:rPr>
          <w:rFonts w:hint="eastAsia" w:ascii="宋体" w:hAnsi="宋体" w:cs="宋体"/>
          <w:b/>
          <w:bCs/>
          <w:color w:val="auto"/>
          <w:kern w:val="0"/>
          <w:szCs w:val="21"/>
          <w:highlight w:val="none"/>
          <w:lang w:eastAsia="zh-CN"/>
        </w:rPr>
        <w:t>参选</w:t>
      </w:r>
      <w:r>
        <w:rPr>
          <w:rFonts w:hint="eastAsia" w:ascii="宋体" w:hAnsi="宋体" w:cs="宋体"/>
          <w:b/>
          <w:bCs/>
          <w:color w:val="auto"/>
          <w:kern w:val="0"/>
          <w:szCs w:val="21"/>
          <w:highlight w:val="none"/>
        </w:rPr>
        <w:t>文件一并递交</w:t>
      </w:r>
      <w:r>
        <w:rPr>
          <w:rFonts w:ascii="宋体" w:hAnsi="宋体"/>
          <w:color w:val="auto"/>
          <w:highlight w:val="none"/>
        </w:rPr>
        <w:t>。</w:t>
      </w:r>
    </w:p>
    <w:p>
      <w:pPr>
        <w:pStyle w:val="5"/>
        <w:spacing w:before="0"/>
        <w:jc w:val="center"/>
        <w:rPr>
          <w:rFonts w:ascii="宋体" w:hAnsi="宋体"/>
          <w:color w:val="auto"/>
          <w:highlight w:val="none"/>
        </w:rPr>
      </w:pPr>
      <w:r>
        <w:rPr>
          <w:rFonts w:hint="eastAsia" w:ascii="宋体" w:hAnsi="宋体"/>
          <w:b w:val="0"/>
          <w:color w:val="auto"/>
          <w:highlight w:val="none"/>
        </w:rPr>
        <w:br w:type="page"/>
      </w:r>
      <w:bookmarkEnd w:id="89"/>
      <w:bookmarkEnd w:id="90"/>
      <w:bookmarkEnd w:id="91"/>
      <w:bookmarkEnd w:id="92"/>
    </w:p>
    <w:bookmarkEnd w:id="93"/>
    <w:bookmarkEnd w:id="94"/>
    <w:p>
      <w:pPr>
        <w:pStyle w:val="21"/>
        <w:ind w:left="420"/>
        <w:jc w:val="center"/>
        <w:rPr>
          <w:rFonts w:hint="default" w:ascii="宋体" w:hAnsi="宋体" w:eastAsia="宋体"/>
          <w:color w:val="auto"/>
          <w:highlight w:val="none"/>
          <w:lang w:val="en-US" w:eastAsia="zh-CN"/>
        </w:rPr>
      </w:pPr>
      <w:bookmarkStart w:id="95" w:name="_Toc17852"/>
      <w:r>
        <w:rPr>
          <w:rFonts w:hint="eastAsia" w:ascii="宋体" w:hAnsi="宋体"/>
          <w:b/>
          <w:bCs/>
          <w:snapToGrid w:val="0"/>
          <w:color w:val="auto"/>
          <w:kern w:val="0"/>
          <w:sz w:val="32"/>
          <w:szCs w:val="32"/>
          <w:highlight w:val="none"/>
        </w:rPr>
        <w:t>2.</w:t>
      </w:r>
      <w:bookmarkEnd w:id="95"/>
      <w:bookmarkStart w:id="96" w:name="_Toc42269749"/>
      <w:bookmarkStart w:id="97" w:name="_Toc17377"/>
      <w:bookmarkStart w:id="98" w:name="_Toc534185843"/>
      <w:bookmarkStart w:id="99" w:name="_Toc3235"/>
      <w:bookmarkStart w:id="100" w:name="_Toc5799"/>
      <w:bookmarkStart w:id="101" w:name="_Toc509218866"/>
      <w:r>
        <w:rPr>
          <w:rFonts w:hint="eastAsia" w:ascii="宋体" w:hAnsi="宋体"/>
          <w:b/>
          <w:bCs/>
          <w:snapToGrid w:val="0"/>
          <w:color w:val="auto"/>
          <w:kern w:val="0"/>
          <w:sz w:val="32"/>
          <w:szCs w:val="32"/>
          <w:highlight w:val="none"/>
          <w:lang w:val="en-US" w:eastAsia="zh-CN"/>
        </w:rPr>
        <w:t>营业执照</w:t>
      </w:r>
    </w:p>
    <w:p>
      <w:pPr>
        <w:pStyle w:val="21"/>
        <w:ind w:left="420"/>
        <w:rPr>
          <w:rFonts w:hint="default"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提供合法有效且满足比选文件中经营范围要求的营业执照复印件，加盖公章</w:t>
      </w:r>
    </w:p>
    <w:p>
      <w:pPr>
        <w:pStyle w:val="21"/>
        <w:ind w:left="420"/>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ascii="宋体" w:hAnsi="宋体"/>
          <w:color w:val="auto"/>
          <w:highlight w:val="none"/>
        </w:rPr>
      </w:pPr>
    </w:p>
    <w:p>
      <w:pPr>
        <w:rPr>
          <w:rFonts w:hint="eastAsia" w:ascii="宋体" w:hAnsi="宋体"/>
          <w:color w:val="auto"/>
          <w:highlight w:val="none"/>
        </w:rPr>
      </w:pPr>
    </w:p>
    <w:p>
      <w:pPr>
        <w:pStyle w:val="2"/>
        <w:rPr>
          <w:rFonts w:hint="eastAsia"/>
        </w:rPr>
      </w:pPr>
    </w:p>
    <w:p>
      <w:pPr>
        <w:pStyle w:val="21"/>
        <w:numPr>
          <w:ilvl w:val="0"/>
          <w:numId w:val="0"/>
        </w:numPr>
        <w:ind w:left="1850" w:leftChars="0"/>
        <w:jc w:val="center"/>
        <w:rPr>
          <w:rFonts w:hint="eastAsia" w:ascii="宋体" w:hAnsi="宋体"/>
          <w:b/>
          <w:bCs/>
          <w:snapToGrid w:val="0"/>
          <w:color w:val="auto"/>
          <w:kern w:val="0"/>
          <w:sz w:val="32"/>
          <w:szCs w:val="32"/>
          <w:highlight w:val="none"/>
          <w:lang w:val="en-US" w:eastAsia="zh-CN"/>
        </w:rPr>
      </w:pPr>
      <w:r>
        <w:rPr>
          <w:rFonts w:hint="eastAsia" w:ascii="宋体" w:hAnsi="宋体"/>
          <w:b/>
          <w:bCs/>
          <w:snapToGrid w:val="0"/>
          <w:color w:val="auto"/>
          <w:kern w:val="0"/>
          <w:sz w:val="32"/>
          <w:szCs w:val="32"/>
          <w:highlight w:val="none"/>
          <w:lang w:val="en-US" w:eastAsia="zh-CN"/>
        </w:rPr>
        <w:t>3.业绩证明材料</w:t>
      </w:r>
    </w:p>
    <w:p>
      <w:pPr>
        <w:ind w:firstLine="420" w:firstLineChars="200"/>
        <w:jc w:val="center"/>
        <w:rPr>
          <w:rFonts w:hint="default"/>
          <w:color w:val="auto"/>
          <w:highlight w:val="none"/>
          <w:lang w:val="en-US" w:eastAsia="zh-CN"/>
        </w:rPr>
      </w:pPr>
      <w:r>
        <w:rPr>
          <w:rFonts w:hint="eastAsia"/>
          <w:color w:val="auto"/>
          <w:highlight w:val="none"/>
          <w:lang w:val="en-US" w:eastAsia="zh-CN"/>
        </w:rPr>
        <w:t>提供资格所需的业绩证明材料，合同复印件加盖公章</w:t>
      </w:r>
    </w:p>
    <w:p>
      <w:pPr>
        <w:pStyle w:val="21"/>
        <w:numPr>
          <w:ilvl w:val="0"/>
          <w:numId w:val="0"/>
        </w:numPr>
        <w:ind w:left="1850" w:leftChars="0"/>
        <w:jc w:val="center"/>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p>
      <w:pPr>
        <w:pStyle w:val="21"/>
        <w:numPr>
          <w:ilvl w:val="0"/>
          <w:numId w:val="0"/>
        </w:numPr>
        <w:ind w:left="1850" w:leftChars="0"/>
        <w:rPr>
          <w:rFonts w:hint="eastAsia" w:ascii="宋体" w:hAnsi="宋体"/>
          <w:color w:val="auto"/>
          <w:highlight w:val="none"/>
        </w:rPr>
      </w:pPr>
    </w:p>
    <w:bookmarkEnd w:id="96"/>
    <w:bookmarkEnd w:id="97"/>
    <w:bookmarkEnd w:id="98"/>
    <w:bookmarkEnd w:id="99"/>
    <w:bookmarkEnd w:id="100"/>
    <w:bookmarkEnd w:id="101"/>
    <w:p>
      <w:pPr>
        <w:pStyle w:val="21"/>
        <w:numPr>
          <w:ilvl w:val="0"/>
          <w:numId w:val="0"/>
        </w:numPr>
        <w:ind w:left="1850" w:leftChars="0"/>
        <w:jc w:val="center"/>
        <w:rPr>
          <w:rFonts w:hint="eastAsia"/>
          <w:color w:val="auto"/>
          <w:sz w:val="28"/>
          <w:szCs w:val="28"/>
          <w:highlight w:val="none"/>
        </w:rPr>
      </w:pPr>
      <w:bookmarkStart w:id="102" w:name="_Toc5310"/>
      <w:bookmarkStart w:id="103" w:name="_Toc15225"/>
      <w:bookmarkStart w:id="104" w:name="_Toc12574"/>
      <w:bookmarkStart w:id="105" w:name="_Toc42269751"/>
      <w:bookmarkStart w:id="106" w:name="_Toc731"/>
      <w:r>
        <w:rPr>
          <w:rFonts w:hint="eastAsia" w:ascii="宋体" w:hAnsi="宋体"/>
          <w:b/>
          <w:bCs/>
          <w:snapToGrid w:val="0"/>
          <w:color w:val="auto"/>
          <w:kern w:val="0"/>
          <w:sz w:val="32"/>
          <w:szCs w:val="32"/>
          <w:highlight w:val="none"/>
          <w:lang w:val="en-US" w:eastAsia="zh-CN"/>
        </w:rPr>
        <w:t>4</w:t>
      </w:r>
      <w:r>
        <w:rPr>
          <w:rFonts w:hint="eastAsia" w:ascii="宋体" w:hAnsi="宋体"/>
          <w:b/>
          <w:bCs/>
          <w:snapToGrid w:val="0"/>
          <w:color w:val="auto"/>
          <w:kern w:val="0"/>
          <w:sz w:val="32"/>
          <w:szCs w:val="32"/>
          <w:highlight w:val="none"/>
        </w:rPr>
        <w:t>.</w:t>
      </w:r>
      <w:bookmarkEnd w:id="102"/>
      <w:bookmarkEnd w:id="103"/>
      <w:bookmarkEnd w:id="104"/>
      <w:bookmarkEnd w:id="105"/>
      <w:r>
        <w:rPr>
          <w:rFonts w:hint="eastAsia" w:ascii="宋体" w:hAnsi="宋体"/>
          <w:b/>
          <w:bCs/>
          <w:snapToGrid w:val="0"/>
          <w:color w:val="auto"/>
          <w:kern w:val="0"/>
          <w:sz w:val="32"/>
          <w:szCs w:val="32"/>
          <w:highlight w:val="none"/>
          <w:lang w:eastAsia="zh-CN"/>
        </w:rPr>
        <w:t>参选</w:t>
      </w:r>
      <w:r>
        <w:rPr>
          <w:rFonts w:hint="eastAsia" w:ascii="宋体" w:hAnsi="宋体"/>
          <w:b/>
          <w:bCs/>
          <w:snapToGrid w:val="0"/>
          <w:color w:val="auto"/>
          <w:kern w:val="0"/>
          <w:sz w:val="32"/>
          <w:szCs w:val="32"/>
          <w:highlight w:val="none"/>
        </w:rPr>
        <w:t>截止日</w:t>
      </w:r>
      <w:r>
        <w:rPr>
          <w:rFonts w:hint="eastAsia" w:ascii="宋体" w:hAnsi="宋体"/>
          <w:b/>
          <w:bCs/>
          <w:snapToGrid w:val="0"/>
          <w:color w:val="auto"/>
          <w:kern w:val="0"/>
          <w:sz w:val="32"/>
          <w:szCs w:val="32"/>
          <w:highlight w:val="none"/>
          <w:lang w:eastAsia="zh-CN"/>
        </w:rPr>
        <w:t>参选</w:t>
      </w:r>
      <w:r>
        <w:rPr>
          <w:rFonts w:hint="eastAsia" w:ascii="宋体" w:hAnsi="宋体"/>
          <w:b/>
          <w:bCs/>
          <w:snapToGrid w:val="0"/>
          <w:color w:val="auto"/>
          <w:kern w:val="0"/>
          <w:sz w:val="32"/>
          <w:szCs w:val="32"/>
          <w:highlight w:val="none"/>
        </w:rPr>
        <w:t>资格情况</w:t>
      </w:r>
      <w:bookmarkEnd w:id="106"/>
    </w:p>
    <w:p>
      <w:pPr>
        <w:ind w:firstLine="420" w:firstLineChars="200"/>
        <w:outlineLvl w:val="1"/>
        <w:rPr>
          <w:rFonts w:hint="eastAsia" w:ascii="宋体" w:hAnsi="宋体"/>
          <w:b w:val="0"/>
          <w:color w:val="auto"/>
          <w:highlight w:val="none"/>
          <w:lang w:val="en-US" w:eastAsia="zh-CN"/>
        </w:rPr>
      </w:pPr>
      <w:r>
        <w:rPr>
          <w:rFonts w:hint="eastAsia" w:ascii="宋体" w:hAnsi="宋体"/>
          <w:b w:val="0"/>
          <w:color w:val="auto"/>
          <w:highlight w:val="none"/>
          <w:lang w:val="en-US" w:eastAsia="zh-CN"/>
        </w:rPr>
        <w:t>提供承诺，格式自拟，可参考下列格式：</w:t>
      </w:r>
    </w:p>
    <w:p>
      <w:pPr>
        <w:spacing w:line="400" w:lineRule="exact"/>
        <w:ind w:firstLine="480" w:firstLineChars="200"/>
        <w:jc w:val="center"/>
        <w:rPr>
          <w:rFonts w:hint="eastAsia" w:ascii="方正仿宋_GBK" w:hAnsi="方正仿宋_GBK" w:eastAsia="方正仿宋_GBK" w:cs="方正仿宋_GBK"/>
          <w:color w:val="auto"/>
          <w:sz w:val="24"/>
          <w:szCs w:val="28"/>
          <w:highlight w:val="none"/>
        </w:rPr>
      </w:pPr>
    </w:p>
    <w:p>
      <w:pPr>
        <w:spacing w:line="400" w:lineRule="exact"/>
        <w:ind w:firstLine="480" w:firstLineChars="200"/>
        <w:jc w:val="center"/>
        <w:rPr>
          <w:rFonts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承诺函</w:t>
      </w:r>
    </w:p>
    <w:p>
      <w:pPr>
        <w:spacing w:line="400" w:lineRule="exact"/>
        <w:ind w:firstLine="480" w:firstLineChars="200"/>
        <w:rPr>
          <w:rFonts w:ascii="方正仿宋_GBK" w:hAnsi="方正仿宋_GBK" w:eastAsia="方正仿宋_GBK" w:cs="方正仿宋_GBK"/>
          <w:color w:val="auto"/>
          <w:sz w:val="24"/>
          <w:szCs w:val="28"/>
          <w:highlight w:val="none"/>
        </w:rPr>
      </w:pP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致</w:t>
      </w:r>
      <w:r>
        <w:rPr>
          <w:rFonts w:hint="eastAsia" w:ascii="方正仿宋_GBK" w:hAnsi="方正仿宋_GBK" w:eastAsia="方正仿宋_GBK" w:cs="方正仿宋_GBK"/>
          <w:color w:val="auto"/>
          <w:sz w:val="24"/>
          <w:szCs w:val="28"/>
          <w:highlight w:val="none"/>
          <w:u w:val="single"/>
        </w:rPr>
        <w:t xml:space="preserve">                      </w:t>
      </w:r>
      <w:r>
        <w:rPr>
          <w:rFonts w:hint="eastAsia" w:ascii="方正仿宋_GBK" w:hAnsi="方正仿宋_GBK" w:eastAsia="方正仿宋_GBK" w:cs="方正仿宋_GBK"/>
          <w:color w:val="auto"/>
          <w:sz w:val="24"/>
          <w:szCs w:val="28"/>
          <w:highlight w:val="none"/>
        </w:rPr>
        <w:t>（</w:t>
      </w:r>
      <w:r>
        <w:rPr>
          <w:rFonts w:hint="eastAsia" w:ascii="方正仿宋_GBK" w:hAnsi="方正仿宋_GBK" w:eastAsia="方正仿宋_GBK" w:cs="方正仿宋_GBK"/>
          <w:color w:val="auto"/>
          <w:sz w:val="24"/>
          <w:szCs w:val="28"/>
          <w:highlight w:val="none"/>
          <w:lang w:val="en-US" w:eastAsia="zh-CN"/>
        </w:rPr>
        <w:t>比选人</w:t>
      </w:r>
      <w:r>
        <w:rPr>
          <w:rFonts w:hint="eastAsia" w:ascii="方正仿宋_GBK" w:hAnsi="方正仿宋_GBK" w:eastAsia="方正仿宋_GBK" w:cs="方正仿宋_GBK"/>
          <w:color w:val="auto"/>
          <w:sz w:val="24"/>
          <w:szCs w:val="28"/>
          <w:highlight w:val="none"/>
        </w:rPr>
        <w:t>名称）</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lang w:val="en-US" w:eastAsia="zh-CN"/>
        </w:rPr>
        <w:t>我司</w:t>
      </w:r>
      <w:r>
        <w:rPr>
          <w:rFonts w:hint="eastAsia" w:ascii="方正仿宋_GBK" w:hAnsi="方正仿宋_GBK" w:eastAsia="方正仿宋_GBK" w:cs="方正仿宋_GBK"/>
          <w:color w:val="auto"/>
          <w:sz w:val="24"/>
          <w:szCs w:val="28"/>
          <w:highlight w:val="none"/>
        </w:rPr>
        <w:t>郑重承诺</w:t>
      </w:r>
      <w:r>
        <w:rPr>
          <w:rFonts w:hint="eastAsia" w:ascii="方正仿宋_GBK" w:hAnsi="方正仿宋_GBK" w:eastAsia="方正仿宋_GBK" w:cs="方正仿宋_GBK"/>
          <w:color w:val="auto"/>
          <w:sz w:val="24"/>
          <w:szCs w:val="28"/>
          <w:highlight w:val="none"/>
          <w:lang w:val="en-US" w:eastAsia="zh-CN"/>
        </w:rPr>
        <w:t>不存在下列情形之一</w:t>
      </w:r>
      <w:r>
        <w:rPr>
          <w:rFonts w:hint="eastAsia" w:ascii="方正仿宋_GBK" w:hAnsi="方正仿宋_GBK" w:eastAsia="方正仿宋_GBK" w:cs="方正仿宋_GBK"/>
          <w:color w:val="auto"/>
          <w:sz w:val="24"/>
          <w:szCs w:val="28"/>
          <w:highlight w:val="none"/>
        </w:rPr>
        <w:t>：</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（1）被人民法院在“信用中国”网站（www.creditchina.gov.cn）列入失信被执行人名单且在被执行期内；</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（2）被列入《重庆市工程建设领域</w:t>
      </w:r>
      <w:r>
        <w:rPr>
          <w:rFonts w:hint="eastAsia" w:ascii="方正仿宋_GBK" w:hAnsi="方正仿宋_GBK" w:eastAsia="方正仿宋_GBK" w:cs="方正仿宋_GBK"/>
          <w:color w:val="auto"/>
          <w:sz w:val="24"/>
          <w:szCs w:val="28"/>
          <w:highlight w:val="none"/>
          <w:lang w:eastAsia="zh-CN"/>
        </w:rPr>
        <w:t>比选参选</w:t>
      </w:r>
      <w:r>
        <w:rPr>
          <w:rFonts w:hint="eastAsia" w:ascii="方正仿宋_GBK" w:hAnsi="方正仿宋_GBK" w:eastAsia="方正仿宋_GBK" w:cs="方正仿宋_GBK"/>
          <w:color w:val="auto"/>
          <w:sz w:val="24"/>
          <w:szCs w:val="28"/>
          <w:highlight w:val="none"/>
        </w:rPr>
        <w:t>信用管理暂行办法》规定的重点关注名单且记分达到12分且在记分有效期内；</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（3）被列入《重庆市工程建设领域</w:t>
      </w:r>
      <w:r>
        <w:rPr>
          <w:rFonts w:hint="eastAsia" w:ascii="方正仿宋_GBK" w:hAnsi="方正仿宋_GBK" w:eastAsia="方正仿宋_GBK" w:cs="方正仿宋_GBK"/>
          <w:color w:val="auto"/>
          <w:sz w:val="24"/>
          <w:szCs w:val="28"/>
          <w:highlight w:val="none"/>
          <w:lang w:eastAsia="zh-CN"/>
        </w:rPr>
        <w:t>比选参选</w:t>
      </w:r>
      <w:r>
        <w:rPr>
          <w:rFonts w:hint="eastAsia" w:ascii="方正仿宋_GBK" w:hAnsi="方正仿宋_GBK" w:eastAsia="方正仿宋_GBK" w:cs="方正仿宋_GBK"/>
          <w:color w:val="auto"/>
          <w:sz w:val="24"/>
          <w:szCs w:val="28"/>
          <w:highlight w:val="none"/>
        </w:rPr>
        <w:t>信用管理暂行办法》规定的重庆市工程建设领域</w:t>
      </w:r>
      <w:r>
        <w:rPr>
          <w:rFonts w:hint="eastAsia" w:ascii="方正仿宋_GBK" w:hAnsi="方正仿宋_GBK" w:eastAsia="方正仿宋_GBK" w:cs="方正仿宋_GBK"/>
          <w:color w:val="auto"/>
          <w:sz w:val="24"/>
          <w:szCs w:val="28"/>
          <w:highlight w:val="none"/>
          <w:lang w:eastAsia="zh-CN"/>
        </w:rPr>
        <w:t>比选参选</w:t>
      </w:r>
      <w:r>
        <w:rPr>
          <w:rFonts w:hint="eastAsia" w:ascii="方正仿宋_GBK" w:hAnsi="方正仿宋_GBK" w:eastAsia="方正仿宋_GBK" w:cs="方正仿宋_GBK"/>
          <w:color w:val="auto"/>
          <w:sz w:val="24"/>
          <w:szCs w:val="28"/>
          <w:highlight w:val="none"/>
        </w:rPr>
        <w:t>失信惩戒对象名单（以下称黑名单）且在记分有效期内；</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（4）被国家、重庆市（含市或任意区县）有关行政部门处以暂停</w:t>
      </w:r>
      <w:r>
        <w:rPr>
          <w:rFonts w:hint="eastAsia" w:ascii="方正仿宋_GBK" w:hAnsi="方正仿宋_GBK" w:eastAsia="方正仿宋_GBK" w:cs="方正仿宋_GBK"/>
          <w:color w:val="auto"/>
          <w:sz w:val="24"/>
          <w:szCs w:val="28"/>
          <w:highlight w:val="none"/>
          <w:lang w:eastAsia="zh-CN"/>
        </w:rPr>
        <w:t>参选</w:t>
      </w:r>
      <w:r>
        <w:rPr>
          <w:rFonts w:hint="eastAsia" w:ascii="方正仿宋_GBK" w:hAnsi="方正仿宋_GBK" w:eastAsia="方正仿宋_GBK" w:cs="方正仿宋_GBK"/>
          <w:color w:val="auto"/>
          <w:sz w:val="24"/>
          <w:szCs w:val="28"/>
          <w:highlight w:val="none"/>
        </w:rPr>
        <w:t>资格行政处罚，且在处罚期限内；</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（5）被重庆市建设主管部门暂停在渝承揽新业务且在暂停期内；</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（6）被责令停业，暂扣或吊销执照，或吊销资质证书；</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（7）进入清算程序，或被宣告破产，或其他丧失履约能力的情形；</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w:t>
      </w:r>
      <w:r>
        <w:rPr>
          <w:rFonts w:hint="eastAsia" w:ascii="方正仿宋_GBK" w:hAnsi="方正仿宋_GBK" w:eastAsia="方正仿宋_GBK" w:cs="方正仿宋_GBK"/>
          <w:color w:val="auto"/>
          <w:sz w:val="24"/>
          <w:szCs w:val="28"/>
          <w:highlight w:val="none"/>
          <w:lang w:val="en-US" w:eastAsia="zh-CN"/>
        </w:rPr>
        <w:t>8</w:t>
      </w:r>
      <w:r>
        <w:rPr>
          <w:rFonts w:hint="eastAsia" w:ascii="方正仿宋_GBK" w:hAnsi="方正仿宋_GBK" w:eastAsia="方正仿宋_GBK" w:cs="方正仿宋_GBK"/>
          <w:color w:val="auto"/>
          <w:sz w:val="24"/>
          <w:szCs w:val="28"/>
          <w:highlight w:val="none"/>
        </w:rPr>
        <w:t>）在国家企业信用信息公示系统（http://www.gsxt.gov.cn/）中被列入严重违法失信企业名单；</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（9）</w:t>
      </w:r>
      <w:r>
        <w:rPr>
          <w:rFonts w:hint="eastAsia" w:ascii="方正仿宋_GBK" w:hAnsi="方正仿宋_GBK" w:eastAsia="方正仿宋_GBK" w:cs="方正仿宋_GBK"/>
          <w:color w:val="auto"/>
          <w:sz w:val="24"/>
          <w:szCs w:val="28"/>
          <w:highlight w:val="none"/>
          <w:lang w:eastAsia="zh-CN"/>
        </w:rPr>
        <w:t>参选</w:t>
      </w:r>
      <w:r>
        <w:rPr>
          <w:rFonts w:hint="eastAsia" w:ascii="方正仿宋_GBK" w:hAnsi="方正仿宋_GBK" w:eastAsia="方正仿宋_GBK" w:cs="方正仿宋_GBK"/>
          <w:color w:val="auto"/>
          <w:sz w:val="24"/>
          <w:szCs w:val="28"/>
          <w:highlight w:val="none"/>
        </w:rPr>
        <w:t>人或其法定代表人在近两年内有行贿犯罪行为。</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我</w:t>
      </w:r>
      <w:r>
        <w:rPr>
          <w:rFonts w:hint="eastAsia" w:ascii="方正仿宋_GBK" w:hAnsi="方正仿宋_GBK" w:eastAsia="方正仿宋_GBK" w:cs="方正仿宋_GBK"/>
          <w:color w:val="auto"/>
          <w:sz w:val="24"/>
          <w:szCs w:val="28"/>
          <w:highlight w:val="none"/>
          <w:lang w:val="en-US" w:eastAsia="zh-CN"/>
        </w:rPr>
        <w:t>司</w:t>
      </w:r>
      <w:r>
        <w:rPr>
          <w:rFonts w:hint="eastAsia" w:ascii="方正仿宋_GBK" w:hAnsi="方正仿宋_GBK" w:eastAsia="方正仿宋_GBK" w:cs="方正仿宋_GBK"/>
          <w:color w:val="auto"/>
          <w:sz w:val="24"/>
          <w:szCs w:val="28"/>
          <w:highlight w:val="none"/>
        </w:rPr>
        <w:t>对以上承诺负全部法律责任。</w:t>
      </w:r>
    </w:p>
    <w:p>
      <w:pPr>
        <w:spacing w:line="400" w:lineRule="exact"/>
        <w:ind w:firstLine="960" w:firstLineChars="400"/>
        <w:jc w:val="lef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特此承诺。</w:t>
      </w: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p>
    <w:p>
      <w:pPr>
        <w:spacing w:line="400" w:lineRule="exact"/>
        <w:ind w:firstLine="480" w:firstLineChars="200"/>
        <w:jc w:val="left"/>
        <w:rPr>
          <w:rFonts w:hint="eastAsia" w:ascii="方正仿宋_GBK" w:hAnsi="方正仿宋_GBK" w:eastAsia="方正仿宋_GBK" w:cs="方正仿宋_GBK"/>
          <w:color w:val="auto"/>
          <w:sz w:val="24"/>
          <w:szCs w:val="28"/>
          <w:highlight w:val="none"/>
        </w:rPr>
      </w:pPr>
    </w:p>
    <w:p>
      <w:pPr>
        <w:spacing w:line="400" w:lineRule="exact"/>
        <w:ind w:firstLine="480" w:firstLineChars="200"/>
        <w:jc w:val="righ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w:t>
      </w:r>
      <w:r>
        <w:rPr>
          <w:rFonts w:hint="eastAsia" w:ascii="方正仿宋_GBK" w:hAnsi="方正仿宋_GBK" w:eastAsia="方正仿宋_GBK" w:cs="方正仿宋_GBK"/>
          <w:color w:val="auto"/>
          <w:sz w:val="24"/>
          <w:szCs w:val="28"/>
          <w:highlight w:val="none"/>
          <w:lang w:val="en-US" w:eastAsia="zh-CN"/>
        </w:rPr>
        <w:t>参选人</w:t>
      </w:r>
      <w:r>
        <w:rPr>
          <w:rFonts w:hint="eastAsia" w:ascii="方正仿宋_GBK" w:hAnsi="方正仿宋_GBK" w:eastAsia="方正仿宋_GBK" w:cs="方正仿宋_GBK"/>
          <w:color w:val="auto"/>
          <w:sz w:val="24"/>
          <w:szCs w:val="28"/>
          <w:highlight w:val="none"/>
        </w:rPr>
        <w:t>公章）</w:t>
      </w:r>
    </w:p>
    <w:p>
      <w:pPr>
        <w:spacing w:line="400" w:lineRule="exact"/>
        <w:ind w:firstLine="480" w:firstLineChars="200"/>
        <w:jc w:val="right"/>
        <w:rPr>
          <w:rFonts w:hint="eastAsia" w:ascii="方正仿宋_GBK" w:hAnsi="方正仿宋_GBK" w:eastAsia="方正仿宋_GBK" w:cs="方正仿宋_GBK"/>
          <w:color w:val="auto"/>
          <w:sz w:val="24"/>
          <w:szCs w:val="28"/>
          <w:highlight w:val="none"/>
        </w:rPr>
      </w:pPr>
    </w:p>
    <w:p>
      <w:pPr>
        <w:spacing w:line="400" w:lineRule="exact"/>
        <w:ind w:firstLine="480" w:firstLineChars="200"/>
        <w:jc w:val="right"/>
        <w:rPr>
          <w:rFonts w:hint="eastAsia" w:ascii="方正仿宋_GBK" w:hAnsi="方正仿宋_GBK" w:eastAsia="方正仿宋_GBK" w:cs="方正仿宋_GBK"/>
          <w:color w:val="auto"/>
          <w:sz w:val="24"/>
          <w:szCs w:val="28"/>
          <w:highlight w:val="none"/>
        </w:rPr>
      </w:pPr>
      <w:r>
        <w:rPr>
          <w:rFonts w:hint="eastAsia" w:ascii="方正仿宋_GBK" w:hAnsi="方正仿宋_GBK" w:eastAsia="方正仿宋_GBK" w:cs="方正仿宋_GBK"/>
          <w:color w:val="auto"/>
          <w:sz w:val="24"/>
          <w:szCs w:val="28"/>
          <w:highlight w:val="none"/>
        </w:rPr>
        <w:t>年   月   日</w:t>
      </w:r>
    </w:p>
    <w:p>
      <w:pPr>
        <w:pStyle w:val="50"/>
        <w:rPr>
          <w:rFonts w:hint="default"/>
          <w:lang w:val="en-US"/>
        </w:rPr>
      </w:pPr>
    </w:p>
    <w:p>
      <w:pPr>
        <w:rPr>
          <w:rFonts w:hint="eastAsia"/>
          <w:color w:val="auto"/>
          <w:highlight w:val="none"/>
        </w:rPr>
      </w:pPr>
    </w:p>
    <w:p>
      <w:pPr>
        <w:rPr>
          <w:rFonts w:hint="eastAsia" w:ascii="宋体" w:hAnsi="宋体" w:cs="宋体"/>
          <w:color w:val="auto"/>
          <w:highlight w:val="none"/>
        </w:rPr>
      </w:pPr>
    </w:p>
    <w:p>
      <w:pPr>
        <w:pageBreakBefore/>
        <w:snapToGrid w:val="0"/>
        <w:spacing w:line="360" w:lineRule="auto"/>
        <w:jc w:val="center"/>
        <w:outlineLvl w:val="2"/>
        <w:rPr>
          <w:rFonts w:ascii="宋体" w:hAnsi="宋体"/>
          <w:b/>
          <w:bCs/>
          <w:snapToGrid w:val="0"/>
          <w:color w:val="auto"/>
          <w:kern w:val="0"/>
          <w:sz w:val="32"/>
          <w:szCs w:val="32"/>
          <w:highlight w:val="none"/>
        </w:rPr>
      </w:pPr>
      <w:bookmarkStart w:id="107" w:name="_Toc25968"/>
      <w:r>
        <w:rPr>
          <w:rFonts w:hint="eastAsia" w:ascii="宋体" w:hAnsi="宋体"/>
          <w:b/>
          <w:bCs/>
          <w:snapToGrid w:val="0"/>
          <w:color w:val="auto"/>
          <w:kern w:val="0"/>
          <w:sz w:val="32"/>
          <w:szCs w:val="32"/>
          <w:highlight w:val="none"/>
          <w:lang w:val="en-US" w:eastAsia="zh-CN"/>
        </w:rPr>
        <w:t>5</w:t>
      </w:r>
      <w:r>
        <w:rPr>
          <w:rFonts w:hint="eastAsia" w:ascii="宋体" w:hAnsi="宋体"/>
          <w:b/>
          <w:bCs/>
          <w:snapToGrid w:val="0"/>
          <w:color w:val="auto"/>
          <w:kern w:val="0"/>
          <w:sz w:val="32"/>
          <w:szCs w:val="32"/>
          <w:highlight w:val="none"/>
        </w:rPr>
        <w:t>.其他资料</w:t>
      </w:r>
      <w:bookmarkEnd w:id="107"/>
    </w:p>
    <w:p>
      <w:pP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 xml:space="preserve">    </w:t>
      </w:r>
    </w:p>
    <w:p>
      <w:pPr>
        <w:ind w:firstLine="420" w:firstLineChars="200"/>
        <w:jc w:val="left"/>
        <w:outlineLvl w:val="1"/>
        <w:rPr>
          <w:rFonts w:hint="default" w:eastAsia="宋体"/>
          <w:color w:val="auto"/>
          <w:highlight w:val="none"/>
          <w:lang w:val="en-US" w:eastAsia="zh-CN"/>
        </w:rPr>
        <w:sectPr>
          <w:footerReference r:id="rId12" w:type="first"/>
          <w:headerReference r:id="rId10" w:type="default"/>
          <w:footerReference r:id="rId11"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titlePg/>
          <w:docGrid w:type="lines" w:linePitch="321" w:charSpace="0"/>
        </w:sectPr>
      </w:pPr>
      <w:r>
        <w:rPr>
          <w:rFonts w:hint="eastAsia"/>
          <w:color w:val="auto"/>
          <w:highlight w:val="none"/>
          <w:lang w:val="en-US" w:eastAsia="zh-CN"/>
        </w:rPr>
        <w:t>委托代理人社保证明材料等</w:t>
      </w:r>
    </w:p>
    <w:p>
      <w:pPr>
        <w:pStyle w:val="50"/>
        <w:jc w:val="both"/>
        <w:rPr>
          <w:rFonts w:hint="eastAsia"/>
          <w:color w:val="auto"/>
          <w:highlight w:val="none"/>
        </w:rPr>
      </w:pPr>
    </w:p>
    <w:sectPr>
      <w:footerReference r:id="rId15" w:type="first"/>
      <w:headerReference r:id="rId13" w:type="default"/>
      <w:footerReference r:id="rId14"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titlePg/>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C11916C-3A19-4BC5-8D11-5A303DDBD64D}"/>
  </w:font>
  <w:font w:name="黑体">
    <w:panose1 w:val="02010609060101010101"/>
    <w:charset w:val="86"/>
    <w:family w:val="auto"/>
    <w:pitch w:val="default"/>
    <w:sig w:usb0="800002BF" w:usb1="38CF7CFA" w:usb2="00000016" w:usb3="00000000" w:csb0="00040001" w:csb1="00000000"/>
    <w:embedRegular r:id="rId2" w:fontKey="{242A5B87-655B-405A-888D-5F81911293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D95828B-975A-4677-9AD4-46014D6A2FC2}"/>
  </w:font>
  <w:font w:name="仿宋_GB2312">
    <w:altName w:val="仿宋"/>
    <w:panose1 w:val="02010609030101010101"/>
    <w:charset w:val="86"/>
    <w:family w:val="modern"/>
    <w:pitch w:val="default"/>
    <w:sig w:usb0="00000000" w:usb1="00000000" w:usb2="00000000" w:usb3="00000000" w:csb0="00040000" w:csb1="00000000"/>
    <w:embedRegular r:id="rId4" w:fontKey="{9C8900BA-BC91-474F-99D9-2D029742696C}"/>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embedRegular r:id="rId5" w:fontKey="{85061619-1E4B-4AEB-BEC5-9A4D107FDDE9}"/>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方正仿宋简体">
    <w:panose1 w:val="02000000000000000000"/>
    <w:charset w:val="86"/>
    <w:family w:val="auto"/>
    <w:pitch w:val="default"/>
    <w:sig w:usb0="A00002BF" w:usb1="184F6CFA" w:usb2="00000012" w:usb3="00000000" w:csb0="00040001" w:csb1="00000000"/>
  </w:font>
  <w:font w:name="方正书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0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6" w:fontKey="{0C0E2684-8E29-4310-A53A-2DBA261B9DF1}"/>
  </w:font>
  <w:font w:name="华文中宋">
    <w:panose1 w:val="02010600040101010101"/>
    <w:charset w:val="86"/>
    <w:family w:val="auto"/>
    <w:pitch w:val="default"/>
    <w:sig w:usb0="00000287" w:usb1="080F0000" w:usb2="00000000" w:usb3="00000000" w:csb0="0004009F" w:csb1="DFD70000"/>
  </w:font>
  <w:font w:name="ヒラギノ角ゴ Pro W3">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7" w:fontKey="{D806A0D8-AF95-4108-B43B-AB4C1F57094B}"/>
  </w:font>
  <w:font w:name="方正仿宋_GBK">
    <w:panose1 w:val="03000509000000000000"/>
    <w:charset w:val="86"/>
    <w:family w:val="auto"/>
    <w:pitch w:val="default"/>
    <w:sig w:usb0="00000001" w:usb1="080E0000" w:usb2="00000000" w:usb3="00000000" w:csb0="00040000" w:csb1="00000000"/>
    <w:embedRegular r:id="rId8" w:fontKey="{A45EBEB4-844D-4637-BB7C-788CB14FD6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rStyle w:val="59"/>
      </w:rPr>
    </w:pPr>
    <w:r>
      <w:fldChar w:fldCharType="begin"/>
    </w:r>
    <w:r>
      <w:rPr>
        <w:rStyle w:val="59"/>
      </w:rPr>
      <w:instrText xml:space="preserve">PAGE  </w:instrText>
    </w:r>
    <w:r>
      <w:fldChar w:fldCharType="end"/>
    </w:r>
  </w:p>
  <w:p>
    <w:pPr>
      <w:pStyle w:val="3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53</w:t>
                    </w:r>
                    <w:r>
                      <w:fldChar w:fldCharType="end"/>
                    </w:r>
                  </w:p>
                </w:txbxContent>
              </v:textbox>
            </v:shape>
          </w:pict>
        </mc:Fallback>
      </mc:AlternateContent>
    </w: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2</w:t>
                    </w:r>
                    <w:r>
                      <w:fldChar w:fldCharType="end"/>
                    </w:r>
                  </w:p>
                </w:txbxContent>
              </v:textbox>
            </v:shape>
          </w:pict>
        </mc:Fallback>
      </mc:AlternateContent>
    </w:r>
  </w:p>
  <w:p>
    <w:pPr>
      <w:pStyle w:val="35"/>
      <w:tabs>
        <w:tab w:val="left" w:pos="5445"/>
        <w:tab w:val="clear" w:pos="4153"/>
      </w:tabs>
      <w:rPr>
        <w:rFonts w:hint="eastAsia" w:eastAsia="宋体"/>
        <w:lang w:eastAsia="zh-CN"/>
      </w:rPr>
    </w:pP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left="42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33</w:t>
                    </w:r>
                    <w:r>
                      <w:fldChar w:fldCharType="end"/>
                    </w:r>
                  </w:p>
                </w:txbxContent>
              </v:textbox>
            </v:shape>
          </w:pict>
        </mc:Fallback>
      </mc:AlternateContent>
    </w:r>
  </w:p>
  <w:p>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left="420"/>
      <w:jc w:val="center"/>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32</w:t>
                    </w:r>
                    <w:r>
                      <w:fldChar w:fldCharType="end"/>
                    </w:r>
                  </w:p>
                </w:txbxContent>
              </v:textbox>
            </v:shape>
          </w:pict>
        </mc:Fallback>
      </mc:AlternateContent>
    </w:r>
  </w:p>
  <w:p>
    <w:pPr>
      <w:pStyle w:val="3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1</w:t>
                    </w:r>
                    <w:r>
                      <w:fldChar w:fldCharType="end"/>
                    </w:r>
                  </w:p>
                </w:txbxContent>
              </v:textbox>
            </v:shape>
          </w:pict>
        </mc:Fallback>
      </mc:AlternateContent>
    </w:r>
  </w:p>
  <w:p>
    <w:pPr>
      <w:pStyle w:val="35"/>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1"/>
      </w:pBdr>
    </w:pPr>
  </w:p>
  <w:p>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69D98"/>
    <w:multiLevelType w:val="singleLevel"/>
    <w:tmpl w:val="FC569D98"/>
    <w:lvl w:ilvl="0" w:tentative="0">
      <w:start w:val="1"/>
      <w:numFmt w:val="decimal"/>
      <w:suff w:val="space"/>
      <w:lvlText w:val="%1."/>
      <w:lvlJc w:val="left"/>
    </w:lvl>
  </w:abstractNum>
  <w:abstractNum w:abstractNumId="1">
    <w:nsid w:val="00000001"/>
    <w:multiLevelType w:val="multilevel"/>
    <w:tmpl w:val="00000001"/>
    <w:lvl w:ilvl="0" w:tentative="0">
      <w:start w:val="1"/>
      <w:numFmt w:val="japaneseCounting"/>
      <w:pStyle w:val="3"/>
      <w:lvlText w:val="第%1章"/>
      <w:lvlJc w:val="left"/>
      <w:pPr>
        <w:ind w:left="5100" w:hanging="1320"/>
      </w:pPr>
      <w:rPr>
        <w:rFonts w:hint="default" w:ascii="黑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60"/>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YTJjNzVkODBmZDJkZDU4MGNmN2U2MTgxMDA3YmEifQ=="/>
    <w:docVar w:name="KSO_WPS_MARK_KEY" w:val="b856d945-0b04-4c42-add4-6959caf7bc92"/>
  </w:docVars>
  <w:rsids>
    <w:rsidRoot w:val="00EF7A73"/>
    <w:rsid w:val="0000062D"/>
    <w:rsid w:val="00000CA2"/>
    <w:rsid w:val="00002392"/>
    <w:rsid w:val="00002A6C"/>
    <w:rsid w:val="000030D9"/>
    <w:rsid w:val="00005D4B"/>
    <w:rsid w:val="00006FA2"/>
    <w:rsid w:val="00010856"/>
    <w:rsid w:val="000110E8"/>
    <w:rsid w:val="0001145E"/>
    <w:rsid w:val="00012AC4"/>
    <w:rsid w:val="00013381"/>
    <w:rsid w:val="000135CD"/>
    <w:rsid w:val="00013A22"/>
    <w:rsid w:val="00015BE1"/>
    <w:rsid w:val="00016F4A"/>
    <w:rsid w:val="00020025"/>
    <w:rsid w:val="0002030B"/>
    <w:rsid w:val="00021B0D"/>
    <w:rsid w:val="0002211E"/>
    <w:rsid w:val="00022E52"/>
    <w:rsid w:val="00022E7A"/>
    <w:rsid w:val="00024368"/>
    <w:rsid w:val="000251F2"/>
    <w:rsid w:val="0002583B"/>
    <w:rsid w:val="00025854"/>
    <w:rsid w:val="000315CC"/>
    <w:rsid w:val="000326CD"/>
    <w:rsid w:val="00033B2A"/>
    <w:rsid w:val="00034392"/>
    <w:rsid w:val="000346E9"/>
    <w:rsid w:val="00034DDB"/>
    <w:rsid w:val="00035927"/>
    <w:rsid w:val="00035A81"/>
    <w:rsid w:val="000364E1"/>
    <w:rsid w:val="00037C93"/>
    <w:rsid w:val="00042012"/>
    <w:rsid w:val="00042D12"/>
    <w:rsid w:val="00043B9E"/>
    <w:rsid w:val="00045E30"/>
    <w:rsid w:val="0004602E"/>
    <w:rsid w:val="0004613C"/>
    <w:rsid w:val="000468DF"/>
    <w:rsid w:val="00050843"/>
    <w:rsid w:val="00051645"/>
    <w:rsid w:val="0005170C"/>
    <w:rsid w:val="00053443"/>
    <w:rsid w:val="00053906"/>
    <w:rsid w:val="00054047"/>
    <w:rsid w:val="000541B4"/>
    <w:rsid w:val="00055EE9"/>
    <w:rsid w:val="00056A36"/>
    <w:rsid w:val="00056C75"/>
    <w:rsid w:val="00060910"/>
    <w:rsid w:val="000614B0"/>
    <w:rsid w:val="000616E0"/>
    <w:rsid w:val="00061936"/>
    <w:rsid w:val="00061B12"/>
    <w:rsid w:val="00063D50"/>
    <w:rsid w:val="0006405E"/>
    <w:rsid w:val="000644B0"/>
    <w:rsid w:val="00071F9A"/>
    <w:rsid w:val="0007317A"/>
    <w:rsid w:val="000732E6"/>
    <w:rsid w:val="000742E9"/>
    <w:rsid w:val="0007470E"/>
    <w:rsid w:val="0007489C"/>
    <w:rsid w:val="00074BF2"/>
    <w:rsid w:val="00074C28"/>
    <w:rsid w:val="00077069"/>
    <w:rsid w:val="00077199"/>
    <w:rsid w:val="0008023C"/>
    <w:rsid w:val="000814BD"/>
    <w:rsid w:val="00081589"/>
    <w:rsid w:val="0008178D"/>
    <w:rsid w:val="0008258E"/>
    <w:rsid w:val="00082661"/>
    <w:rsid w:val="00083E41"/>
    <w:rsid w:val="000862C4"/>
    <w:rsid w:val="00090AA5"/>
    <w:rsid w:val="00090E93"/>
    <w:rsid w:val="00091D2B"/>
    <w:rsid w:val="000924AC"/>
    <w:rsid w:val="00093E21"/>
    <w:rsid w:val="000953B2"/>
    <w:rsid w:val="00097E18"/>
    <w:rsid w:val="000A08D5"/>
    <w:rsid w:val="000A1196"/>
    <w:rsid w:val="000A1DE4"/>
    <w:rsid w:val="000A4186"/>
    <w:rsid w:val="000A44EE"/>
    <w:rsid w:val="000A5E68"/>
    <w:rsid w:val="000A5F48"/>
    <w:rsid w:val="000A6653"/>
    <w:rsid w:val="000A6A28"/>
    <w:rsid w:val="000A71CE"/>
    <w:rsid w:val="000A7273"/>
    <w:rsid w:val="000A7987"/>
    <w:rsid w:val="000B066E"/>
    <w:rsid w:val="000B18F1"/>
    <w:rsid w:val="000B1DEA"/>
    <w:rsid w:val="000B2DD9"/>
    <w:rsid w:val="000B3ABA"/>
    <w:rsid w:val="000B44FC"/>
    <w:rsid w:val="000B5CD2"/>
    <w:rsid w:val="000B7CEB"/>
    <w:rsid w:val="000C1A03"/>
    <w:rsid w:val="000C1D88"/>
    <w:rsid w:val="000C2DDB"/>
    <w:rsid w:val="000C341E"/>
    <w:rsid w:val="000C4CEC"/>
    <w:rsid w:val="000C64C4"/>
    <w:rsid w:val="000C6510"/>
    <w:rsid w:val="000C7089"/>
    <w:rsid w:val="000C7C1D"/>
    <w:rsid w:val="000D02CF"/>
    <w:rsid w:val="000D0F1D"/>
    <w:rsid w:val="000D1D1A"/>
    <w:rsid w:val="000D1EF0"/>
    <w:rsid w:val="000D5A1F"/>
    <w:rsid w:val="000D5C59"/>
    <w:rsid w:val="000D6608"/>
    <w:rsid w:val="000D6F50"/>
    <w:rsid w:val="000D79E4"/>
    <w:rsid w:val="000E1F74"/>
    <w:rsid w:val="000E2860"/>
    <w:rsid w:val="000E38D2"/>
    <w:rsid w:val="000E72F4"/>
    <w:rsid w:val="000E78F1"/>
    <w:rsid w:val="000F0818"/>
    <w:rsid w:val="000F093E"/>
    <w:rsid w:val="000F0A38"/>
    <w:rsid w:val="000F0A49"/>
    <w:rsid w:val="000F22BA"/>
    <w:rsid w:val="000F2B8A"/>
    <w:rsid w:val="000F3219"/>
    <w:rsid w:val="000F3490"/>
    <w:rsid w:val="000F36B2"/>
    <w:rsid w:val="000F3E4F"/>
    <w:rsid w:val="000F4392"/>
    <w:rsid w:val="000F5130"/>
    <w:rsid w:val="000F5B42"/>
    <w:rsid w:val="000F6BEB"/>
    <w:rsid w:val="000F7078"/>
    <w:rsid w:val="000F767C"/>
    <w:rsid w:val="001012E2"/>
    <w:rsid w:val="0010301D"/>
    <w:rsid w:val="00103BF1"/>
    <w:rsid w:val="0010450A"/>
    <w:rsid w:val="001068F8"/>
    <w:rsid w:val="001111A4"/>
    <w:rsid w:val="001113EB"/>
    <w:rsid w:val="0011206F"/>
    <w:rsid w:val="0011346D"/>
    <w:rsid w:val="00113843"/>
    <w:rsid w:val="00113F93"/>
    <w:rsid w:val="00114395"/>
    <w:rsid w:val="00116060"/>
    <w:rsid w:val="001167C2"/>
    <w:rsid w:val="0011686E"/>
    <w:rsid w:val="00120892"/>
    <w:rsid w:val="00121247"/>
    <w:rsid w:val="00122564"/>
    <w:rsid w:val="00122FF6"/>
    <w:rsid w:val="0012329B"/>
    <w:rsid w:val="00125A34"/>
    <w:rsid w:val="001268E5"/>
    <w:rsid w:val="00126B7B"/>
    <w:rsid w:val="0012717D"/>
    <w:rsid w:val="00137EC1"/>
    <w:rsid w:val="0014061E"/>
    <w:rsid w:val="00143528"/>
    <w:rsid w:val="00143873"/>
    <w:rsid w:val="00143E21"/>
    <w:rsid w:val="001449D5"/>
    <w:rsid w:val="00145511"/>
    <w:rsid w:val="001464EA"/>
    <w:rsid w:val="00146557"/>
    <w:rsid w:val="00150BBF"/>
    <w:rsid w:val="0015118F"/>
    <w:rsid w:val="00152737"/>
    <w:rsid w:val="00154E19"/>
    <w:rsid w:val="00155077"/>
    <w:rsid w:val="001551D9"/>
    <w:rsid w:val="0015660F"/>
    <w:rsid w:val="00156AC4"/>
    <w:rsid w:val="00156F89"/>
    <w:rsid w:val="001608ED"/>
    <w:rsid w:val="0016103F"/>
    <w:rsid w:val="001613C0"/>
    <w:rsid w:val="001620F0"/>
    <w:rsid w:val="00163393"/>
    <w:rsid w:val="001647A6"/>
    <w:rsid w:val="00165A90"/>
    <w:rsid w:val="00165D6D"/>
    <w:rsid w:val="001663B4"/>
    <w:rsid w:val="00166DEA"/>
    <w:rsid w:val="00167867"/>
    <w:rsid w:val="00170CB3"/>
    <w:rsid w:val="00170F91"/>
    <w:rsid w:val="00171313"/>
    <w:rsid w:val="00172463"/>
    <w:rsid w:val="001729D3"/>
    <w:rsid w:val="00172D85"/>
    <w:rsid w:val="001735A3"/>
    <w:rsid w:val="00174C87"/>
    <w:rsid w:val="00174E05"/>
    <w:rsid w:val="0017521E"/>
    <w:rsid w:val="001763C4"/>
    <w:rsid w:val="001770D2"/>
    <w:rsid w:val="001837C7"/>
    <w:rsid w:val="001840B1"/>
    <w:rsid w:val="00185176"/>
    <w:rsid w:val="00185233"/>
    <w:rsid w:val="00185B5B"/>
    <w:rsid w:val="00187955"/>
    <w:rsid w:val="0019228B"/>
    <w:rsid w:val="00192668"/>
    <w:rsid w:val="00193CCA"/>
    <w:rsid w:val="00193EBB"/>
    <w:rsid w:val="00195360"/>
    <w:rsid w:val="00195C19"/>
    <w:rsid w:val="0019677D"/>
    <w:rsid w:val="001968AA"/>
    <w:rsid w:val="00196DDD"/>
    <w:rsid w:val="0019755B"/>
    <w:rsid w:val="001A0832"/>
    <w:rsid w:val="001A155E"/>
    <w:rsid w:val="001A50B5"/>
    <w:rsid w:val="001A51E9"/>
    <w:rsid w:val="001A5D2F"/>
    <w:rsid w:val="001A79F8"/>
    <w:rsid w:val="001A7B7A"/>
    <w:rsid w:val="001B515A"/>
    <w:rsid w:val="001C0267"/>
    <w:rsid w:val="001C05EE"/>
    <w:rsid w:val="001C12AB"/>
    <w:rsid w:val="001C2B58"/>
    <w:rsid w:val="001C2BF2"/>
    <w:rsid w:val="001C2DF8"/>
    <w:rsid w:val="001C4554"/>
    <w:rsid w:val="001C4D35"/>
    <w:rsid w:val="001C5CB5"/>
    <w:rsid w:val="001C7B22"/>
    <w:rsid w:val="001D0121"/>
    <w:rsid w:val="001D034D"/>
    <w:rsid w:val="001D0827"/>
    <w:rsid w:val="001D0A1E"/>
    <w:rsid w:val="001D2B9A"/>
    <w:rsid w:val="001D2E3B"/>
    <w:rsid w:val="001D3149"/>
    <w:rsid w:val="001D3536"/>
    <w:rsid w:val="001D3E84"/>
    <w:rsid w:val="001D54D1"/>
    <w:rsid w:val="001D709D"/>
    <w:rsid w:val="001E0216"/>
    <w:rsid w:val="001E0CFD"/>
    <w:rsid w:val="001E30C2"/>
    <w:rsid w:val="001E3804"/>
    <w:rsid w:val="001E4400"/>
    <w:rsid w:val="001E47D0"/>
    <w:rsid w:val="001E4BCF"/>
    <w:rsid w:val="001E570F"/>
    <w:rsid w:val="001E6CE7"/>
    <w:rsid w:val="001F0D9A"/>
    <w:rsid w:val="001F1546"/>
    <w:rsid w:val="001F1FAE"/>
    <w:rsid w:val="001F2A9F"/>
    <w:rsid w:val="001F2D3B"/>
    <w:rsid w:val="001F3729"/>
    <w:rsid w:val="001F49FC"/>
    <w:rsid w:val="00200032"/>
    <w:rsid w:val="002003F1"/>
    <w:rsid w:val="00200E61"/>
    <w:rsid w:val="00201A94"/>
    <w:rsid w:val="002024BC"/>
    <w:rsid w:val="0020399E"/>
    <w:rsid w:val="002048C5"/>
    <w:rsid w:val="00204C22"/>
    <w:rsid w:val="002064C1"/>
    <w:rsid w:val="00210A09"/>
    <w:rsid w:val="00212255"/>
    <w:rsid w:val="00212B4B"/>
    <w:rsid w:val="00214EE2"/>
    <w:rsid w:val="00216DDB"/>
    <w:rsid w:val="00216FCA"/>
    <w:rsid w:val="00221F7D"/>
    <w:rsid w:val="002220D6"/>
    <w:rsid w:val="00223500"/>
    <w:rsid w:val="00223531"/>
    <w:rsid w:val="00224C60"/>
    <w:rsid w:val="00225382"/>
    <w:rsid w:val="00226445"/>
    <w:rsid w:val="00226A09"/>
    <w:rsid w:val="00230ACF"/>
    <w:rsid w:val="00231577"/>
    <w:rsid w:val="00233FBD"/>
    <w:rsid w:val="0023460B"/>
    <w:rsid w:val="00235D3C"/>
    <w:rsid w:val="00237136"/>
    <w:rsid w:val="00237C3F"/>
    <w:rsid w:val="002406D7"/>
    <w:rsid w:val="00241FDC"/>
    <w:rsid w:val="0024222D"/>
    <w:rsid w:val="00242392"/>
    <w:rsid w:val="00243198"/>
    <w:rsid w:val="00245298"/>
    <w:rsid w:val="00245946"/>
    <w:rsid w:val="002467B3"/>
    <w:rsid w:val="00246CFE"/>
    <w:rsid w:val="002473E2"/>
    <w:rsid w:val="002474FB"/>
    <w:rsid w:val="002500B3"/>
    <w:rsid w:val="00250B77"/>
    <w:rsid w:val="00251638"/>
    <w:rsid w:val="002519DA"/>
    <w:rsid w:val="00252750"/>
    <w:rsid w:val="00252B08"/>
    <w:rsid w:val="00253C38"/>
    <w:rsid w:val="00254AC4"/>
    <w:rsid w:val="00255D9B"/>
    <w:rsid w:val="00260CE0"/>
    <w:rsid w:val="0026140B"/>
    <w:rsid w:val="00261CF6"/>
    <w:rsid w:val="00262E10"/>
    <w:rsid w:val="0026379C"/>
    <w:rsid w:val="00264F47"/>
    <w:rsid w:val="002655EC"/>
    <w:rsid w:val="00265C35"/>
    <w:rsid w:val="00267236"/>
    <w:rsid w:val="00267263"/>
    <w:rsid w:val="002705F4"/>
    <w:rsid w:val="0027153F"/>
    <w:rsid w:val="002760F4"/>
    <w:rsid w:val="002775E0"/>
    <w:rsid w:val="00277631"/>
    <w:rsid w:val="00282EA4"/>
    <w:rsid w:val="00283173"/>
    <w:rsid w:val="002839B3"/>
    <w:rsid w:val="00290188"/>
    <w:rsid w:val="00290398"/>
    <w:rsid w:val="002904CC"/>
    <w:rsid w:val="002907CD"/>
    <w:rsid w:val="00292F72"/>
    <w:rsid w:val="00293910"/>
    <w:rsid w:val="002940AF"/>
    <w:rsid w:val="00295A6D"/>
    <w:rsid w:val="00296831"/>
    <w:rsid w:val="00296FE4"/>
    <w:rsid w:val="002977F0"/>
    <w:rsid w:val="00297875"/>
    <w:rsid w:val="002A178B"/>
    <w:rsid w:val="002A1815"/>
    <w:rsid w:val="002A1B62"/>
    <w:rsid w:val="002A29F9"/>
    <w:rsid w:val="002A3411"/>
    <w:rsid w:val="002A4AB0"/>
    <w:rsid w:val="002A4D30"/>
    <w:rsid w:val="002A5025"/>
    <w:rsid w:val="002A50E9"/>
    <w:rsid w:val="002A5529"/>
    <w:rsid w:val="002A560F"/>
    <w:rsid w:val="002A5C26"/>
    <w:rsid w:val="002A6060"/>
    <w:rsid w:val="002A6A6D"/>
    <w:rsid w:val="002A6F34"/>
    <w:rsid w:val="002A7424"/>
    <w:rsid w:val="002A76D0"/>
    <w:rsid w:val="002B077F"/>
    <w:rsid w:val="002B1068"/>
    <w:rsid w:val="002B1E2F"/>
    <w:rsid w:val="002B2368"/>
    <w:rsid w:val="002B2B4D"/>
    <w:rsid w:val="002B52A1"/>
    <w:rsid w:val="002B5318"/>
    <w:rsid w:val="002B5D26"/>
    <w:rsid w:val="002B6533"/>
    <w:rsid w:val="002B69DE"/>
    <w:rsid w:val="002C03E5"/>
    <w:rsid w:val="002C0479"/>
    <w:rsid w:val="002C0B2A"/>
    <w:rsid w:val="002C3E2C"/>
    <w:rsid w:val="002C4E26"/>
    <w:rsid w:val="002D0355"/>
    <w:rsid w:val="002D110A"/>
    <w:rsid w:val="002D5725"/>
    <w:rsid w:val="002D6339"/>
    <w:rsid w:val="002D7D00"/>
    <w:rsid w:val="002D7FDC"/>
    <w:rsid w:val="002E0EF4"/>
    <w:rsid w:val="002E29A1"/>
    <w:rsid w:val="002E356B"/>
    <w:rsid w:val="002E3F4A"/>
    <w:rsid w:val="002E4018"/>
    <w:rsid w:val="002E43D4"/>
    <w:rsid w:val="002E4965"/>
    <w:rsid w:val="002E5BB0"/>
    <w:rsid w:val="002E686E"/>
    <w:rsid w:val="002E6B17"/>
    <w:rsid w:val="002E6EDD"/>
    <w:rsid w:val="002E7792"/>
    <w:rsid w:val="002E7F83"/>
    <w:rsid w:val="002F07A8"/>
    <w:rsid w:val="002F2421"/>
    <w:rsid w:val="002F29D2"/>
    <w:rsid w:val="002F2DC9"/>
    <w:rsid w:val="002F419E"/>
    <w:rsid w:val="002F6030"/>
    <w:rsid w:val="002F6CAA"/>
    <w:rsid w:val="002F6F98"/>
    <w:rsid w:val="0030023C"/>
    <w:rsid w:val="00302D90"/>
    <w:rsid w:val="00302FEE"/>
    <w:rsid w:val="003030E9"/>
    <w:rsid w:val="00305490"/>
    <w:rsid w:val="00306AFF"/>
    <w:rsid w:val="0031011E"/>
    <w:rsid w:val="00311541"/>
    <w:rsid w:val="00311AB0"/>
    <w:rsid w:val="003129CE"/>
    <w:rsid w:val="00313365"/>
    <w:rsid w:val="00315804"/>
    <w:rsid w:val="00316DE4"/>
    <w:rsid w:val="00321FB2"/>
    <w:rsid w:val="003225B8"/>
    <w:rsid w:val="0032293E"/>
    <w:rsid w:val="00323B22"/>
    <w:rsid w:val="00324043"/>
    <w:rsid w:val="00324F06"/>
    <w:rsid w:val="00324F27"/>
    <w:rsid w:val="00326AFB"/>
    <w:rsid w:val="00326BF6"/>
    <w:rsid w:val="00326FC1"/>
    <w:rsid w:val="00330DE6"/>
    <w:rsid w:val="00331560"/>
    <w:rsid w:val="00333F9C"/>
    <w:rsid w:val="00336DB6"/>
    <w:rsid w:val="003370A2"/>
    <w:rsid w:val="0034010B"/>
    <w:rsid w:val="00340322"/>
    <w:rsid w:val="0034063D"/>
    <w:rsid w:val="00340D95"/>
    <w:rsid w:val="003413B9"/>
    <w:rsid w:val="00341AC2"/>
    <w:rsid w:val="00341F4B"/>
    <w:rsid w:val="0034203B"/>
    <w:rsid w:val="00342190"/>
    <w:rsid w:val="00342449"/>
    <w:rsid w:val="00342C71"/>
    <w:rsid w:val="00343533"/>
    <w:rsid w:val="00343FC2"/>
    <w:rsid w:val="00344D3F"/>
    <w:rsid w:val="00345C31"/>
    <w:rsid w:val="00345E2F"/>
    <w:rsid w:val="00345F74"/>
    <w:rsid w:val="00346C17"/>
    <w:rsid w:val="003473DB"/>
    <w:rsid w:val="003477AF"/>
    <w:rsid w:val="00350A02"/>
    <w:rsid w:val="00350C0D"/>
    <w:rsid w:val="00350EF0"/>
    <w:rsid w:val="00351190"/>
    <w:rsid w:val="003515FA"/>
    <w:rsid w:val="00351B3D"/>
    <w:rsid w:val="00351CBD"/>
    <w:rsid w:val="00351D5A"/>
    <w:rsid w:val="00354BDF"/>
    <w:rsid w:val="00354EC4"/>
    <w:rsid w:val="00355653"/>
    <w:rsid w:val="00355ED2"/>
    <w:rsid w:val="00357CD4"/>
    <w:rsid w:val="00361AA8"/>
    <w:rsid w:val="003631EB"/>
    <w:rsid w:val="003663AD"/>
    <w:rsid w:val="003718A4"/>
    <w:rsid w:val="0037264C"/>
    <w:rsid w:val="003728EE"/>
    <w:rsid w:val="003740EF"/>
    <w:rsid w:val="00374147"/>
    <w:rsid w:val="003745E1"/>
    <w:rsid w:val="00374899"/>
    <w:rsid w:val="00375421"/>
    <w:rsid w:val="00377240"/>
    <w:rsid w:val="00380845"/>
    <w:rsid w:val="00380C2F"/>
    <w:rsid w:val="00381D83"/>
    <w:rsid w:val="00382FE9"/>
    <w:rsid w:val="00385696"/>
    <w:rsid w:val="00385749"/>
    <w:rsid w:val="00390647"/>
    <w:rsid w:val="00391247"/>
    <w:rsid w:val="003912D4"/>
    <w:rsid w:val="00391618"/>
    <w:rsid w:val="00391652"/>
    <w:rsid w:val="00391669"/>
    <w:rsid w:val="00391F13"/>
    <w:rsid w:val="00392A02"/>
    <w:rsid w:val="0039490E"/>
    <w:rsid w:val="0039538D"/>
    <w:rsid w:val="00397E50"/>
    <w:rsid w:val="003A00B3"/>
    <w:rsid w:val="003A09A2"/>
    <w:rsid w:val="003A0F7C"/>
    <w:rsid w:val="003A144F"/>
    <w:rsid w:val="003A3475"/>
    <w:rsid w:val="003A4023"/>
    <w:rsid w:val="003A42FA"/>
    <w:rsid w:val="003A47E7"/>
    <w:rsid w:val="003A5BEC"/>
    <w:rsid w:val="003A7042"/>
    <w:rsid w:val="003B0193"/>
    <w:rsid w:val="003B0452"/>
    <w:rsid w:val="003B0785"/>
    <w:rsid w:val="003B13A6"/>
    <w:rsid w:val="003B1453"/>
    <w:rsid w:val="003B4DB0"/>
    <w:rsid w:val="003B6634"/>
    <w:rsid w:val="003C1409"/>
    <w:rsid w:val="003C1718"/>
    <w:rsid w:val="003C1DA8"/>
    <w:rsid w:val="003C360B"/>
    <w:rsid w:val="003C41D3"/>
    <w:rsid w:val="003C4745"/>
    <w:rsid w:val="003C522A"/>
    <w:rsid w:val="003C5B44"/>
    <w:rsid w:val="003C602D"/>
    <w:rsid w:val="003C61FE"/>
    <w:rsid w:val="003C6788"/>
    <w:rsid w:val="003C7A93"/>
    <w:rsid w:val="003D094E"/>
    <w:rsid w:val="003D0DDA"/>
    <w:rsid w:val="003D11F1"/>
    <w:rsid w:val="003D1B36"/>
    <w:rsid w:val="003D2158"/>
    <w:rsid w:val="003D2855"/>
    <w:rsid w:val="003D37FD"/>
    <w:rsid w:val="003D5126"/>
    <w:rsid w:val="003D5623"/>
    <w:rsid w:val="003D5928"/>
    <w:rsid w:val="003D7599"/>
    <w:rsid w:val="003E0174"/>
    <w:rsid w:val="003E064D"/>
    <w:rsid w:val="003E24CF"/>
    <w:rsid w:val="003E2CC7"/>
    <w:rsid w:val="003E2D64"/>
    <w:rsid w:val="003E2F22"/>
    <w:rsid w:val="003E378A"/>
    <w:rsid w:val="003E3D0A"/>
    <w:rsid w:val="003E551B"/>
    <w:rsid w:val="003E55D2"/>
    <w:rsid w:val="003E5676"/>
    <w:rsid w:val="003E6C90"/>
    <w:rsid w:val="003E7EA9"/>
    <w:rsid w:val="003F0336"/>
    <w:rsid w:val="003F04D6"/>
    <w:rsid w:val="003F3285"/>
    <w:rsid w:val="003F32F1"/>
    <w:rsid w:val="003F34C7"/>
    <w:rsid w:val="003F48AE"/>
    <w:rsid w:val="003F5139"/>
    <w:rsid w:val="003F52A2"/>
    <w:rsid w:val="003F5C40"/>
    <w:rsid w:val="003F6BA9"/>
    <w:rsid w:val="003F75EF"/>
    <w:rsid w:val="00400394"/>
    <w:rsid w:val="0040039B"/>
    <w:rsid w:val="00401163"/>
    <w:rsid w:val="0040191B"/>
    <w:rsid w:val="00401A36"/>
    <w:rsid w:val="00401F3F"/>
    <w:rsid w:val="00402A5B"/>
    <w:rsid w:val="00402B8B"/>
    <w:rsid w:val="00402C3B"/>
    <w:rsid w:val="00403038"/>
    <w:rsid w:val="004049D3"/>
    <w:rsid w:val="0040601F"/>
    <w:rsid w:val="004063C4"/>
    <w:rsid w:val="00406861"/>
    <w:rsid w:val="0041197F"/>
    <w:rsid w:val="004143E4"/>
    <w:rsid w:val="00414E8D"/>
    <w:rsid w:val="00416CC3"/>
    <w:rsid w:val="00416EF0"/>
    <w:rsid w:val="004172FB"/>
    <w:rsid w:val="0042022C"/>
    <w:rsid w:val="00420359"/>
    <w:rsid w:val="004207AF"/>
    <w:rsid w:val="00422F3E"/>
    <w:rsid w:val="00423481"/>
    <w:rsid w:val="004246E6"/>
    <w:rsid w:val="0042479D"/>
    <w:rsid w:val="00424F97"/>
    <w:rsid w:val="00425196"/>
    <w:rsid w:val="00427518"/>
    <w:rsid w:val="00430042"/>
    <w:rsid w:val="00430151"/>
    <w:rsid w:val="0043019B"/>
    <w:rsid w:val="00430976"/>
    <w:rsid w:val="00430E36"/>
    <w:rsid w:val="0043165F"/>
    <w:rsid w:val="00431784"/>
    <w:rsid w:val="00432D84"/>
    <w:rsid w:val="00433442"/>
    <w:rsid w:val="00433C45"/>
    <w:rsid w:val="00437BD2"/>
    <w:rsid w:val="00437DDF"/>
    <w:rsid w:val="00440A79"/>
    <w:rsid w:val="004425ED"/>
    <w:rsid w:val="0044268A"/>
    <w:rsid w:val="004432C9"/>
    <w:rsid w:val="0044331C"/>
    <w:rsid w:val="004457AF"/>
    <w:rsid w:val="00445D86"/>
    <w:rsid w:val="00446CBC"/>
    <w:rsid w:val="00447F4F"/>
    <w:rsid w:val="00452EF9"/>
    <w:rsid w:val="00453408"/>
    <w:rsid w:val="0045371B"/>
    <w:rsid w:val="00453B9A"/>
    <w:rsid w:val="00453E28"/>
    <w:rsid w:val="0045464F"/>
    <w:rsid w:val="00454942"/>
    <w:rsid w:val="00456FC3"/>
    <w:rsid w:val="00460186"/>
    <w:rsid w:val="004605E3"/>
    <w:rsid w:val="00463250"/>
    <w:rsid w:val="004632BB"/>
    <w:rsid w:val="0046755D"/>
    <w:rsid w:val="00470398"/>
    <w:rsid w:val="004718E1"/>
    <w:rsid w:val="00472561"/>
    <w:rsid w:val="00472690"/>
    <w:rsid w:val="0047305B"/>
    <w:rsid w:val="0047324C"/>
    <w:rsid w:val="00473F1C"/>
    <w:rsid w:val="00474C76"/>
    <w:rsid w:val="004753AA"/>
    <w:rsid w:val="004778BE"/>
    <w:rsid w:val="00480D67"/>
    <w:rsid w:val="004812BF"/>
    <w:rsid w:val="0048155A"/>
    <w:rsid w:val="00482BC3"/>
    <w:rsid w:val="004833ED"/>
    <w:rsid w:val="004838D3"/>
    <w:rsid w:val="00485060"/>
    <w:rsid w:val="004865AC"/>
    <w:rsid w:val="00487D97"/>
    <w:rsid w:val="00491650"/>
    <w:rsid w:val="00491DC2"/>
    <w:rsid w:val="00493178"/>
    <w:rsid w:val="00493285"/>
    <w:rsid w:val="0049460D"/>
    <w:rsid w:val="0049506F"/>
    <w:rsid w:val="00496FD0"/>
    <w:rsid w:val="004977B1"/>
    <w:rsid w:val="004A19D3"/>
    <w:rsid w:val="004A2220"/>
    <w:rsid w:val="004A2441"/>
    <w:rsid w:val="004A3631"/>
    <w:rsid w:val="004A372D"/>
    <w:rsid w:val="004A4745"/>
    <w:rsid w:val="004A4A41"/>
    <w:rsid w:val="004A52A3"/>
    <w:rsid w:val="004A5879"/>
    <w:rsid w:val="004A5FCC"/>
    <w:rsid w:val="004A5FEE"/>
    <w:rsid w:val="004A60C5"/>
    <w:rsid w:val="004A6E89"/>
    <w:rsid w:val="004A744A"/>
    <w:rsid w:val="004A765B"/>
    <w:rsid w:val="004B0565"/>
    <w:rsid w:val="004B0728"/>
    <w:rsid w:val="004B0E2D"/>
    <w:rsid w:val="004B2D37"/>
    <w:rsid w:val="004B3943"/>
    <w:rsid w:val="004B3974"/>
    <w:rsid w:val="004B56B7"/>
    <w:rsid w:val="004B5B57"/>
    <w:rsid w:val="004B704F"/>
    <w:rsid w:val="004B7F9B"/>
    <w:rsid w:val="004C0CE1"/>
    <w:rsid w:val="004C2115"/>
    <w:rsid w:val="004C5C75"/>
    <w:rsid w:val="004C5CCC"/>
    <w:rsid w:val="004C636E"/>
    <w:rsid w:val="004C72AE"/>
    <w:rsid w:val="004D033D"/>
    <w:rsid w:val="004D09B8"/>
    <w:rsid w:val="004D1B0C"/>
    <w:rsid w:val="004D1D83"/>
    <w:rsid w:val="004D1E9F"/>
    <w:rsid w:val="004D4F2D"/>
    <w:rsid w:val="004D534A"/>
    <w:rsid w:val="004D56CB"/>
    <w:rsid w:val="004E0860"/>
    <w:rsid w:val="004E0DC4"/>
    <w:rsid w:val="004E1176"/>
    <w:rsid w:val="004E18EB"/>
    <w:rsid w:val="004E1D97"/>
    <w:rsid w:val="004E315E"/>
    <w:rsid w:val="004E3387"/>
    <w:rsid w:val="004E346B"/>
    <w:rsid w:val="004E3677"/>
    <w:rsid w:val="004E4BDB"/>
    <w:rsid w:val="004E50AF"/>
    <w:rsid w:val="004E5949"/>
    <w:rsid w:val="004E5E0C"/>
    <w:rsid w:val="004E617A"/>
    <w:rsid w:val="004E64A0"/>
    <w:rsid w:val="004E7E8E"/>
    <w:rsid w:val="004F05D0"/>
    <w:rsid w:val="004F144E"/>
    <w:rsid w:val="004F1658"/>
    <w:rsid w:val="004F2EAD"/>
    <w:rsid w:val="004F3A92"/>
    <w:rsid w:val="004F3B50"/>
    <w:rsid w:val="004F44B2"/>
    <w:rsid w:val="004F5813"/>
    <w:rsid w:val="004F6BA0"/>
    <w:rsid w:val="004F7455"/>
    <w:rsid w:val="004F7C57"/>
    <w:rsid w:val="004F7F8A"/>
    <w:rsid w:val="00500D31"/>
    <w:rsid w:val="0050296C"/>
    <w:rsid w:val="00502AA7"/>
    <w:rsid w:val="005031DF"/>
    <w:rsid w:val="00503901"/>
    <w:rsid w:val="00504EAC"/>
    <w:rsid w:val="005057B2"/>
    <w:rsid w:val="0050684F"/>
    <w:rsid w:val="005071FC"/>
    <w:rsid w:val="00507574"/>
    <w:rsid w:val="00510866"/>
    <w:rsid w:val="00511BAE"/>
    <w:rsid w:val="005173BE"/>
    <w:rsid w:val="00517C32"/>
    <w:rsid w:val="005215E7"/>
    <w:rsid w:val="0052183D"/>
    <w:rsid w:val="00521E8B"/>
    <w:rsid w:val="005243C8"/>
    <w:rsid w:val="00524810"/>
    <w:rsid w:val="00524F21"/>
    <w:rsid w:val="00525C6C"/>
    <w:rsid w:val="00526B20"/>
    <w:rsid w:val="0052777D"/>
    <w:rsid w:val="005303DA"/>
    <w:rsid w:val="00530BC5"/>
    <w:rsid w:val="0053103E"/>
    <w:rsid w:val="00531DB7"/>
    <w:rsid w:val="00531E09"/>
    <w:rsid w:val="005333E4"/>
    <w:rsid w:val="00534543"/>
    <w:rsid w:val="00534F1E"/>
    <w:rsid w:val="00535A23"/>
    <w:rsid w:val="0054107C"/>
    <w:rsid w:val="005444D2"/>
    <w:rsid w:val="00544E76"/>
    <w:rsid w:val="0054730A"/>
    <w:rsid w:val="00550175"/>
    <w:rsid w:val="0055127F"/>
    <w:rsid w:val="00554E25"/>
    <w:rsid w:val="00555A61"/>
    <w:rsid w:val="00561B85"/>
    <w:rsid w:val="0056217F"/>
    <w:rsid w:val="0056530F"/>
    <w:rsid w:val="005653D2"/>
    <w:rsid w:val="00566A81"/>
    <w:rsid w:val="005670C8"/>
    <w:rsid w:val="005678DF"/>
    <w:rsid w:val="00570172"/>
    <w:rsid w:val="00570870"/>
    <w:rsid w:val="00571315"/>
    <w:rsid w:val="0057402F"/>
    <w:rsid w:val="005740E1"/>
    <w:rsid w:val="0057410D"/>
    <w:rsid w:val="00575974"/>
    <w:rsid w:val="00577365"/>
    <w:rsid w:val="0057780C"/>
    <w:rsid w:val="00581FF1"/>
    <w:rsid w:val="00582970"/>
    <w:rsid w:val="00582B77"/>
    <w:rsid w:val="005839DC"/>
    <w:rsid w:val="00583A0B"/>
    <w:rsid w:val="00585558"/>
    <w:rsid w:val="005874F4"/>
    <w:rsid w:val="00587675"/>
    <w:rsid w:val="005908CC"/>
    <w:rsid w:val="005911D6"/>
    <w:rsid w:val="005918C3"/>
    <w:rsid w:val="005918DD"/>
    <w:rsid w:val="00591BBC"/>
    <w:rsid w:val="00591C19"/>
    <w:rsid w:val="00592530"/>
    <w:rsid w:val="0059307B"/>
    <w:rsid w:val="005942AA"/>
    <w:rsid w:val="00595C25"/>
    <w:rsid w:val="00596B4C"/>
    <w:rsid w:val="00597B2F"/>
    <w:rsid w:val="005A2715"/>
    <w:rsid w:val="005A2A14"/>
    <w:rsid w:val="005A2C1D"/>
    <w:rsid w:val="005A5276"/>
    <w:rsid w:val="005B1121"/>
    <w:rsid w:val="005B18FB"/>
    <w:rsid w:val="005B1D9B"/>
    <w:rsid w:val="005B1EDD"/>
    <w:rsid w:val="005B28BA"/>
    <w:rsid w:val="005B2B61"/>
    <w:rsid w:val="005B38ED"/>
    <w:rsid w:val="005B4115"/>
    <w:rsid w:val="005B453D"/>
    <w:rsid w:val="005B49C3"/>
    <w:rsid w:val="005B5E87"/>
    <w:rsid w:val="005B7AA4"/>
    <w:rsid w:val="005B7B5E"/>
    <w:rsid w:val="005B7C19"/>
    <w:rsid w:val="005C1720"/>
    <w:rsid w:val="005C2320"/>
    <w:rsid w:val="005C36C7"/>
    <w:rsid w:val="005C54A8"/>
    <w:rsid w:val="005C645C"/>
    <w:rsid w:val="005C659C"/>
    <w:rsid w:val="005D00C0"/>
    <w:rsid w:val="005D05C5"/>
    <w:rsid w:val="005D05E3"/>
    <w:rsid w:val="005D09E6"/>
    <w:rsid w:val="005D09F7"/>
    <w:rsid w:val="005D0FBE"/>
    <w:rsid w:val="005D0FC2"/>
    <w:rsid w:val="005D7EA1"/>
    <w:rsid w:val="005E123B"/>
    <w:rsid w:val="005E42E4"/>
    <w:rsid w:val="005E4681"/>
    <w:rsid w:val="005E74A1"/>
    <w:rsid w:val="005F0A9C"/>
    <w:rsid w:val="005F48EB"/>
    <w:rsid w:val="005F51F5"/>
    <w:rsid w:val="005F6A7B"/>
    <w:rsid w:val="005F74AC"/>
    <w:rsid w:val="006006B2"/>
    <w:rsid w:val="00600A46"/>
    <w:rsid w:val="00602DF6"/>
    <w:rsid w:val="006039A8"/>
    <w:rsid w:val="00605941"/>
    <w:rsid w:val="00607014"/>
    <w:rsid w:val="006073C4"/>
    <w:rsid w:val="006075B4"/>
    <w:rsid w:val="00607F33"/>
    <w:rsid w:val="006112E2"/>
    <w:rsid w:val="00611985"/>
    <w:rsid w:val="00611E6F"/>
    <w:rsid w:val="006133B1"/>
    <w:rsid w:val="0061406C"/>
    <w:rsid w:val="0061722A"/>
    <w:rsid w:val="00617829"/>
    <w:rsid w:val="006209E5"/>
    <w:rsid w:val="00620F77"/>
    <w:rsid w:val="006213DB"/>
    <w:rsid w:val="0062387A"/>
    <w:rsid w:val="00624788"/>
    <w:rsid w:val="00627355"/>
    <w:rsid w:val="00627A3D"/>
    <w:rsid w:val="006304E9"/>
    <w:rsid w:val="006312B6"/>
    <w:rsid w:val="0063132F"/>
    <w:rsid w:val="006316A1"/>
    <w:rsid w:val="0063185E"/>
    <w:rsid w:val="00632EE8"/>
    <w:rsid w:val="00633E41"/>
    <w:rsid w:val="00635B0F"/>
    <w:rsid w:val="006368AC"/>
    <w:rsid w:val="00640A64"/>
    <w:rsid w:val="006414AB"/>
    <w:rsid w:val="00646C3E"/>
    <w:rsid w:val="00647115"/>
    <w:rsid w:val="00647779"/>
    <w:rsid w:val="00647FE0"/>
    <w:rsid w:val="00650D0A"/>
    <w:rsid w:val="00651CE8"/>
    <w:rsid w:val="0065334B"/>
    <w:rsid w:val="00653C37"/>
    <w:rsid w:val="00654807"/>
    <w:rsid w:val="00655A46"/>
    <w:rsid w:val="006563A9"/>
    <w:rsid w:val="00657041"/>
    <w:rsid w:val="006607B3"/>
    <w:rsid w:val="00660963"/>
    <w:rsid w:val="0066210E"/>
    <w:rsid w:val="0066273D"/>
    <w:rsid w:val="00664E17"/>
    <w:rsid w:val="006665AC"/>
    <w:rsid w:val="006666AE"/>
    <w:rsid w:val="00666AC2"/>
    <w:rsid w:val="006712B6"/>
    <w:rsid w:val="00671B22"/>
    <w:rsid w:val="00672843"/>
    <w:rsid w:val="00673EFD"/>
    <w:rsid w:val="006754D7"/>
    <w:rsid w:val="006761C9"/>
    <w:rsid w:val="00676494"/>
    <w:rsid w:val="006764F3"/>
    <w:rsid w:val="00677300"/>
    <w:rsid w:val="00677FDA"/>
    <w:rsid w:val="00682837"/>
    <w:rsid w:val="006843D4"/>
    <w:rsid w:val="00685572"/>
    <w:rsid w:val="00685AA0"/>
    <w:rsid w:val="00687EC3"/>
    <w:rsid w:val="00690AD0"/>
    <w:rsid w:val="00692777"/>
    <w:rsid w:val="0069349B"/>
    <w:rsid w:val="00693AC7"/>
    <w:rsid w:val="006941F0"/>
    <w:rsid w:val="00694F6A"/>
    <w:rsid w:val="0069539F"/>
    <w:rsid w:val="00695535"/>
    <w:rsid w:val="0069590D"/>
    <w:rsid w:val="0069708A"/>
    <w:rsid w:val="0069743E"/>
    <w:rsid w:val="006A0803"/>
    <w:rsid w:val="006A0C56"/>
    <w:rsid w:val="006A1AA3"/>
    <w:rsid w:val="006A26DC"/>
    <w:rsid w:val="006A387F"/>
    <w:rsid w:val="006A4147"/>
    <w:rsid w:val="006A41C2"/>
    <w:rsid w:val="006A4938"/>
    <w:rsid w:val="006A5228"/>
    <w:rsid w:val="006A6684"/>
    <w:rsid w:val="006A69D2"/>
    <w:rsid w:val="006A7316"/>
    <w:rsid w:val="006A7880"/>
    <w:rsid w:val="006B03B6"/>
    <w:rsid w:val="006B19F2"/>
    <w:rsid w:val="006B1BF2"/>
    <w:rsid w:val="006B2835"/>
    <w:rsid w:val="006B356F"/>
    <w:rsid w:val="006B42D1"/>
    <w:rsid w:val="006B576F"/>
    <w:rsid w:val="006B7129"/>
    <w:rsid w:val="006B799B"/>
    <w:rsid w:val="006C09AD"/>
    <w:rsid w:val="006C0F52"/>
    <w:rsid w:val="006C1BC3"/>
    <w:rsid w:val="006C22CB"/>
    <w:rsid w:val="006C352F"/>
    <w:rsid w:val="006C381E"/>
    <w:rsid w:val="006C4CCE"/>
    <w:rsid w:val="006C4F14"/>
    <w:rsid w:val="006C5401"/>
    <w:rsid w:val="006C558F"/>
    <w:rsid w:val="006C64BA"/>
    <w:rsid w:val="006C685D"/>
    <w:rsid w:val="006C6C63"/>
    <w:rsid w:val="006C6E28"/>
    <w:rsid w:val="006C71B1"/>
    <w:rsid w:val="006D0D56"/>
    <w:rsid w:val="006D15A5"/>
    <w:rsid w:val="006D17E5"/>
    <w:rsid w:val="006D2B7D"/>
    <w:rsid w:val="006D33E0"/>
    <w:rsid w:val="006D36A1"/>
    <w:rsid w:val="006D4CB5"/>
    <w:rsid w:val="006D5301"/>
    <w:rsid w:val="006D5636"/>
    <w:rsid w:val="006D5A10"/>
    <w:rsid w:val="006D5E40"/>
    <w:rsid w:val="006D6F3C"/>
    <w:rsid w:val="006E1AB9"/>
    <w:rsid w:val="006E1B24"/>
    <w:rsid w:val="006E342B"/>
    <w:rsid w:val="006E447B"/>
    <w:rsid w:val="006E44CC"/>
    <w:rsid w:val="006E6111"/>
    <w:rsid w:val="006E757E"/>
    <w:rsid w:val="006F033F"/>
    <w:rsid w:val="006F27AB"/>
    <w:rsid w:val="006F52BA"/>
    <w:rsid w:val="006F6CF0"/>
    <w:rsid w:val="006F7E35"/>
    <w:rsid w:val="00700B2B"/>
    <w:rsid w:val="00700CA0"/>
    <w:rsid w:val="00701F0A"/>
    <w:rsid w:val="00702230"/>
    <w:rsid w:val="0070234F"/>
    <w:rsid w:val="0070362F"/>
    <w:rsid w:val="0070518B"/>
    <w:rsid w:val="0070556D"/>
    <w:rsid w:val="00705A63"/>
    <w:rsid w:val="00705AF0"/>
    <w:rsid w:val="00706591"/>
    <w:rsid w:val="00706A4F"/>
    <w:rsid w:val="00707FCF"/>
    <w:rsid w:val="00712B02"/>
    <w:rsid w:val="00712F51"/>
    <w:rsid w:val="00714554"/>
    <w:rsid w:val="00714F5B"/>
    <w:rsid w:val="007168C9"/>
    <w:rsid w:val="007171DF"/>
    <w:rsid w:val="00720443"/>
    <w:rsid w:val="00720FE0"/>
    <w:rsid w:val="00721FDD"/>
    <w:rsid w:val="00722F80"/>
    <w:rsid w:val="007230EE"/>
    <w:rsid w:val="007238A2"/>
    <w:rsid w:val="007244FF"/>
    <w:rsid w:val="00725A69"/>
    <w:rsid w:val="007270D9"/>
    <w:rsid w:val="0072794A"/>
    <w:rsid w:val="00727A42"/>
    <w:rsid w:val="00732AF5"/>
    <w:rsid w:val="00733E47"/>
    <w:rsid w:val="00734434"/>
    <w:rsid w:val="00734C9B"/>
    <w:rsid w:val="00735618"/>
    <w:rsid w:val="00735739"/>
    <w:rsid w:val="00735F98"/>
    <w:rsid w:val="00737D42"/>
    <w:rsid w:val="00737E20"/>
    <w:rsid w:val="007403C1"/>
    <w:rsid w:val="0074042E"/>
    <w:rsid w:val="00741380"/>
    <w:rsid w:val="0074210B"/>
    <w:rsid w:val="00742374"/>
    <w:rsid w:val="00742822"/>
    <w:rsid w:val="007430CB"/>
    <w:rsid w:val="00743EF5"/>
    <w:rsid w:val="00743F4A"/>
    <w:rsid w:val="0074412A"/>
    <w:rsid w:val="0074467A"/>
    <w:rsid w:val="00744FD7"/>
    <w:rsid w:val="00750976"/>
    <w:rsid w:val="0075200B"/>
    <w:rsid w:val="00752034"/>
    <w:rsid w:val="0075441D"/>
    <w:rsid w:val="00754797"/>
    <w:rsid w:val="007549FC"/>
    <w:rsid w:val="00757C82"/>
    <w:rsid w:val="00761432"/>
    <w:rsid w:val="0076169A"/>
    <w:rsid w:val="00761B32"/>
    <w:rsid w:val="00764BAA"/>
    <w:rsid w:val="00764BBB"/>
    <w:rsid w:val="00764CC4"/>
    <w:rsid w:val="00765B57"/>
    <w:rsid w:val="007673E2"/>
    <w:rsid w:val="00767A53"/>
    <w:rsid w:val="00771745"/>
    <w:rsid w:val="00771965"/>
    <w:rsid w:val="007748C2"/>
    <w:rsid w:val="00774A8F"/>
    <w:rsid w:val="00775285"/>
    <w:rsid w:val="00775B13"/>
    <w:rsid w:val="00775E71"/>
    <w:rsid w:val="00776071"/>
    <w:rsid w:val="007772DA"/>
    <w:rsid w:val="007773C1"/>
    <w:rsid w:val="007811C5"/>
    <w:rsid w:val="00781453"/>
    <w:rsid w:val="00781A94"/>
    <w:rsid w:val="00781C09"/>
    <w:rsid w:val="007820B6"/>
    <w:rsid w:val="007822D2"/>
    <w:rsid w:val="00782878"/>
    <w:rsid w:val="00785717"/>
    <w:rsid w:val="007859B1"/>
    <w:rsid w:val="00785FF1"/>
    <w:rsid w:val="00786533"/>
    <w:rsid w:val="0078798D"/>
    <w:rsid w:val="00787AC0"/>
    <w:rsid w:val="00787DFC"/>
    <w:rsid w:val="0079137A"/>
    <w:rsid w:val="0079289F"/>
    <w:rsid w:val="00792C4A"/>
    <w:rsid w:val="00792CED"/>
    <w:rsid w:val="00793381"/>
    <w:rsid w:val="00793852"/>
    <w:rsid w:val="007951F3"/>
    <w:rsid w:val="00795C87"/>
    <w:rsid w:val="00795DD5"/>
    <w:rsid w:val="00796A36"/>
    <w:rsid w:val="007972CE"/>
    <w:rsid w:val="007978C8"/>
    <w:rsid w:val="00797C81"/>
    <w:rsid w:val="007A1084"/>
    <w:rsid w:val="007A2D7D"/>
    <w:rsid w:val="007A396B"/>
    <w:rsid w:val="007A42C6"/>
    <w:rsid w:val="007A49F0"/>
    <w:rsid w:val="007A4D62"/>
    <w:rsid w:val="007A6550"/>
    <w:rsid w:val="007A6B8D"/>
    <w:rsid w:val="007A7797"/>
    <w:rsid w:val="007A7E9C"/>
    <w:rsid w:val="007B07EC"/>
    <w:rsid w:val="007B0E9B"/>
    <w:rsid w:val="007B2980"/>
    <w:rsid w:val="007B2E73"/>
    <w:rsid w:val="007B4BFA"/>
    <w:rsid w:val="007B5004"/>
    <w:rsid w:val="007C075A"/>
    <w:rsid w:val="007C1438"/>
    <w:rsid w:val="007C2065"/>
    <w:rsid w:val="007C27A3"/>
    <w:rsid w:val="007C3ABB"/>
    <w:rsid w:val="007C47AA"/>
    <w:rsid w:val="007C6352"/>
    <w:rsid w:val="007C6AD7"/>
    <w:rsid w:val="007C7338"/>
    <w:rsid w:val="007C737B"/>
    <w:rsid w:val="007C7922"/>
    <w:rsid w:val="007C7AE4"/>
    <w:rsid w:val="007C7B7A"/>
    <w:rsid w:val="007D02CF"/>
    <w:rsid w:val="007D0AB6"/>
    <w:rsid w:val="007D1824"/>
    <w:rsid w:val="007D1A74"/>
    <w:rsid w:val="007D1E5D"/>
    <w:rsid w:val="007D40B1"/>
    <w:rsid w:val="007D4318"/>
    <w:rsid w:val="007D6C68"/>
    <w:rsid w:val="007D6D29"/>
    <w:rsid w:val="007D7BEA"/>
    <w:rsid w:val="007E0C7F"/>
    <w:rsid w:val="007E19CE"/>
    <w:rsid w:val="007E1C5F"/>
    <w:rsid w:val="007E20AD"/>
    <w:rsid w:val="007E2C44"/>
    <w:rsid w:val="007E2FAB"/>
    <w:rsid w:val="007E364B"/>
    <w:rsid w:val="007E3C16"/>
    <w:rsid w:val="007E5F58"/>
    <w:rsid w:val="007E6C38"/>
    <w:rsid w:val="007E767C"/>
    <w:rsid w:val="007E7830"/>
    <w:rsid w:val="007F0BAE"/>
    <w:rsid w:val="007F1057"/>
    <w:rsid w:val="007F283E"/>
    <w:rsid w:val="007F548C"/>
    <w:rsid w:val="007F65F1"/>
    <w:rsid w:val="007F7A9F"/>
    <w:rsid w:val="008014EA"/>
    <w:rsid w:val="00802741"/>
    <w:rsid w:val="00802F81"/>
    <w:rsid w:val="00803693"/>
    <w:rsid w:val="008054F7"/>
    <w:rsid w:val="008064E2"/>
    <w:rsid w:val="00807A63"/>
    <w:rsid w:val="008111FE"/>
    <w:rsid w:val="00812363"/>
    <w:rsid w:val="00813589"/>
    <w:rsid w:val="00813FDA"/>
    <w:rsid w:val="00814287"/>
    <w:rsid w:val="00814C4A"/>
    <w:rsid w:val="00814D00"/>
    <w:rsid w:val="00816AB2"/>
    <w:rsid w:val="00821416"/>
    <w:rsid w:val="00821A79"/>
    <w:rsid w:val="00823151"/>
    <w:rsid w:val="008245B0"/>
    <w:rsid w:val="0082484C"/>
    <w:rsid w:val="008249A3"/>
    <w:rsid w:val="00824C5E"/>
    <w:rsid w:val="0082713A"/>
    <w:rsid w:val="008300B9"/>
    <w:rsid w:val="008317EF"/>
    <w:rsid w:val="0083264E"/>
    <w:rsid w:val="00832BF3"/>
    <w:rsid w:val="00832E26"/>
    <w:rsid w:val="00834A29"/>
    <w:rsid w:val="00835C0A"/>
    <w:rsid w:val="008373D9"/>
    <w:rsid w:val="0083761C"/>
    <w:rsid w:val="0083782F"/>
    <w:rsid w:val="008404F3"/>
    <w:rsid w:val="0084293C"/>
    <w:rsid w:val="00842DBF"/>
    <w:rsid w:val="00842FDD"/>
    <w:rsid w:val="00843087"/>
    <w:rsid w:val="00844472"/>
    <w:rsid w:val="008444CF"/>
    <w:rsid w:val="00845CDB"/>
    <w:rsid w:val="00845D39"/>
    <w:rsid w:val="00850714"/>
    <w:rsid w:val="00851E06"/>
    <w:rsid w:val="00852F2A"/>
    <w:rsid w:val="008553C6"/>
    <w:rsid w:val="00856271"/>
    <w:rsid w:val="008565C4"/>
    <w:rsid w:val="00856C3C"/>
    <w:rsid w:val="00857313"/>
    <w:rsid w:val="008574ED"/>
    <w:rsid w:val="008601C5"/>
    <w:rsid w:val="00860BAC"/>
    <w:rsid w:val="00861B21"/>
    <w:rsid w:val="008624F3"/>
    <w:rsid w:val="0086271E"/>
    <w:rsid w:val="008638C3"/>
    <w:rsid w:val="00863F46"/>
    <w:rsid w:val="00866E6A"/>
    <w:rsid w:val="00867712"/>
    <w:rsid w:val="00867933"/>
    <w:rsid w:val="00870ECF"/>
    <w:rsid w:val="0087186C"/>
    <w:rsid w:val="008730D2"/>
    <w:rsid w:val="0087490E"/>
    <w:rsid w:val="00874B38"/>
    <w:rsid w:val="00875146"/>
    <w:rsid w:val="00877613"/>
    <w:rsid w:val="00880138"/>
    <w:rsid w:val="00880945"/>
    <w:rsid w:val="00882563"/>
    <w:rsid w:val="00882584"/>
    <w:rsid w:val="00882D78"/>
    <w:rsid w:val="00883555"/>
    <w:rsid w:val="0088370E"/>
    <w:rsid w:val="008838D1"/>
    <w:rsid w:val="00884D34"/>
    <w:rsid w:val="00884D9C"/>
    <w:rsid w:val="008856DB"/>
    <w:rsid w:val="00886684"/>
    <w:rsid w:val="00887825"/>
    <w:rsid w:val="0089042E"/>
    <w:rsid w:val="008916C2"/>
    <w:rsid w:val="008921A9"/>
    <w:rsid w:val="008942C3"/>
    <w:rsid w:val="00894C79"/>
    <w:rsid w:val="00895504"/>
    <w:rsid w:val="0089610C"/>
    <w:rsid w:val="008A10A0"/>
    <w:rsid w:val="008A460E"/>
    <w:rsid w:val="008A470B"/>
    <w:rsid w:val="008A4CB4"/>
    <w:rsid w:val="008A5B44"/>
    <w:rsid w:val="008A5FFF"/>
    <w:rsid w:val="008A67EE"/>
    <w:rsid w:val="008A6C61"/>
    <w:rsid w:val="008A6DBF"/>
    <w:rsid w:val="008A7011"/>
    <w:rsid w:val="008A7051"/>
    <w:rsid w:val="008B1263"/>
    <w:rsid w:val="008B12D2"/>
    <w:rsid w:val="008B3480"/>
    <w:rsid w:val="008B370B"/>
    <w:rsid w:val="008B3C49"/>
    <w:rsid w:val="008B42D0"/>
    <w:rsid w:val="008B557C"/>
    <w:rsid w:val="008B7FFD"/>
    <w:rsid w:val="008C015C"/>
    <w:rsid w:val="008C01EA"/>
    <w:rsid w:val="008C15C0"/>
    <w:rsid w:val="008C171B"/>
    <w:rsid w:val="008C4DEE"/>
    <w:rsid w:val="008C5424"/>
    <w:rsid w:val="008C58FE"/>
    <w:rsid w:val="008C5935"/>
    <w:rsid w:val="008C7AFF"/>
    <w:rsid w:val="008D0147"/>
    <w:rsid w:val="008D0A21"/>
    <w:rsid w:val="008D2066"/>
    <w:rsid w:val="008D2D8D"/>
    <w:rsid w:val="008D38C7"/>
    <w:rsid w:val="008D3A8D"/>
    <w:rsid w:val="008D574E"/>
    <w:rsid w:val="008D62E7"/>
    <w:rsid w:val="008D6B23"/>
    <w:rsid w:val="008D6D85"/>
    <w:rsid w:val="008D6E81"/>
    <w:rsid w:val="008D784A"/>
    <w:rsid w:val="008E006E"/>
    <w:rsid w:val="008E0167"/>
    <w:rsid w:val="008E035A"/>
    <w:rsid w:val="008E0FCF"/>
    <w:rsid w:val="008E113C"/>
    <w:rsid w:val="008E11C1"/>
    <w:rsid w:val="008E2228"/>
    <w:rsid w:val="008E337D"/>
    <w:rsid w:val="008E45C3"/>
    <w:rsid w:val="008E484A"/>
    <w:rsid w:val="008E5215"/>
    <w:rsid w:val="008E55F6"/>
    <w:rsid w:val="008E59DC"/>
    <w:rsid w:val="008E6105"/>
    <w:rsid w:val="008E7E45"/>
    <w:rsid w:val="008F0D77"/>
    <w:rsid w:val="008F11B8"/>
    <w:rsid w:val="008F20F5"/>
    <w:rsid w:val="008F2614"/>
    <w:rsid w:val="008F3372"/>
    <w:rsid w:val="008F46B4"/>
    <w:rsid w:val="008F4BFE"/>
    <w:rsid w:val="008F5195"/>
    <w:rsid w:val="008F586D"/>
    <w:rsid w:val="008F5E49"/>
    <w:rsid w:val="0090069A"/>
    <w:rsid w:val="009016E5"/>
    <w:rsid w:val="009021E6"/>
    <w:rsid w:val="0090230F"/>
    <w:rsid w:val="00902A66"/>
    <w:rsid w:val="009041F9"/>
    <w:rsid w:val="00904719"/>
    <w:rsid w:val="00904BAC"/>
    <w:rsid w:val="009054F0"/>
    <w:rsid w:val="00906AA2"/>
    <w:rsid w:val="00910733"/>
    <w:rsid w:val="00911EF8"/>
    <w:rsid w:val="0091247F"/>
    <w:rsid w:val="00912B7E"/>
    <w:rsid w:val="00912EFB"/>
    <w:rsid w:val="00913976"/>
    <w:rsid w:val="009161B9"/>
    <w:rsid w:val="00916329"/>
    <w:rsid w:val="0092092C"/>
    <w:rsid w:val="00921382"/>
    <w:rsid w:val="00921BBC"/>
    <w:rsid w:val="00921C86"/>
    <w:rsid w:val="00922240"/>
    <w:rsid w:val="00923620"/>
    <w:rsid w:val="00923F72"/>
    <w:rsid w:val="0092428E"/>
    <w:rsid w:val="00924658"/>
    <w:rsid w:val="00925C03"/>
    <w:rsid w:val="0093020A"/>
    <w:rsid w:val="00930E4C"/>
    <w:rsid w:val="009311AC"/>
    <w:rsid w:val="00932328"/>
    <w:rsid w:val="00932A50"/>
    <w:rsid w:val="00934675"/>
    <w:rsid w:val="009349CF"/>
    <w:rsid w:val="00934A2D"/>
    <w:rsid w:val="00934C73"/>
    <w:rsid w:val="00934C88"/>
    <w:rsid w:val="00935E80"/>
    <w:rsid w:val="00940520"/>
    <w:rsid w:val="00940A50"/>
    <w:rsid w:val="00941690"/>
    <w:rsid w:val="00941AB5"/>
    <w:rsid w:val="00941C32"/>
    <w:rsid w:val="009421E9"/>
    <w:rsid w:val="00943D2E"/>
    <w:rsid w:val="00944766"/>
    <w:rsid w:val="00944EFE"/>
    <w:rsid w:val="00944F37"/>
    <w:rsid w:val="009460BA"/>
    <w:rsid w:val="009467C3"/>
    <w:rsid w:val="009468FA"/>
    <w:rsid w:val="00950555"/>
    <w:rsid w:val="00950AD9"/>
    <w:rsid w:val="00952B41"/>
    <w:rsid w:val="00952D77"/>
    <w:rsid w:val="009542BD"/>
    <w:rsid w:val="009548D0"/>
    <w:rsid w:val="00956CF2"/>
    <w:rsid w:val="00957D36"/>
    <w:rsid w:val="00960035"/>
    <w:rsid w:val="00960D71"/>
    <w:rsid w:val="00961F2A"/>
    <w:rsid w:val="00962385"/>
    <w:rsid w:val="00963DC9"/>
    <w:rsid w:val="00963FA7"/>
    <w:rsid w:val="00963FFE"/>
    <w:rsid w:val="00964B3A"/>
    <w:rsid w:val="00967A7D"/>
    <w:rsid w:val="00967DD6"/>
    <w:rsid w:val="00967E77"/>
    <w:rsid w:val="00967F48"/>
    <w:rsid w:val="0097023B"/>
    <w:rsid w:val="00970339"/>
    <w:rsid w:val="00970A12"/>
    <w:rsid w:val="00970E1F"/>
    <w:rsid w:val="009721BA"/>
    <w:rsid w:val="009723B7"/>
    <w:rsid w:val="00972DE8"/>
    <w:rsid w:val="0097330A"/>
    <w:rsid w:val="009752CE"/>
    <w:rsid w:val="009754F7"/>
    <w:rsid w:val="00975F7E"/>
    <w:rsid w:val="009768A8"/>
    <w:rsid w:val="00976B10"/>
    <w:rsid w:val="0097755D"/>
    <w:rsid w:val="00977E94"/>
    <w:rsid w:val="00980BC6"/>
    <w:rsid w:val="00981D94"/>
    <w:rsid w:val="0098242F"/>
    <w:rsid w:val="00982B12"/>
    <w:rsid w:val="0098522E"/>
    <w:rsid w:val="00985473"/>
    <w:rsid w:val="00985972"/>
    <w:rsid w:val="009902F2"/>
    <w:rsid w:val="00990ABE"/>
    <w:rsid w:val="009915D4"/>
    <w:rsid w:val="009928E4"/>
    <w:rsid w:val="00992C86"/>
    <w:rsid w:val="00993598"/>
    <w:rsid w:val="00993E4F"/>
    <w:rsid w:val="00994784"/>
    <w:rsid w:val="00994791"/>
    <w:rsid w:val="00994BFF"/>
    <w:rsid w:val="00995644"/>
    <w:rsid w:val="0099584A"/>
    <w:rsid w:val="00996B9A"/>
    <w:rsid w:val="00996C70"/>
    <w:rsid w:val="00997C4C"/>
    <w:rsid w:val="009A0846"/>
    <w:rsid w:val="009A09EE"/>
    <w:rsid w:val="009A0E5A"/>
    <w:rsid w:val="009A1A68"/>
    <w:rsid w:val="009A2F48"/>
    <w:rsid w:val="009A5661"/>
    <w:rsid w:val="009A5889"/>
    <w:rsid w:val="009A6927"/>
    <w:rsid w:val="009A74EA"/>
    <w:rsid w:val="009B07E4"/>
    <w:rsid w:val="009B0E1C"/>
    <w:rsid w:val="009B166C"/>
    <w:rsid w:val="009B1CCD"/>
    <w:rsid w:val="009B3344"/>
    <w:rsid w:val="009B364B"/>
    <w:rsid w:val="009B39ED"/>
    <w:rsid w:val="009B3DBC"/>
    <w:rsid w:val="009B5C2C"/>
    <w:rsid w:val="009B5C32"/>
    <w:rsid w:val="009B6132"/>
    <w:rsid w:val="009B6A52"/>
    <w:rsid w:val="009B708C"/>
    <w:rsid w:val="009B7584"/>
    <w:rsid w:val="009B75E0"/>
    <w:rsid w:val="009B7A78"/>
    <w:rsid w:val="009B7C68"/>
    <w:rsid w:val="009C006C"/>
    <w:rsid w:val="009C1DDA"/>
    <w:rsid w:val="009C285A"/>
    <w:rsid w:val="009C39D4"/>
    <w:rsid w:val="009C3D28"/>
    <w:rsid w:val="009C3FC3"/>
    <w:rsid w:val="009C617C"/>
    <w:rsid w:val="009C7800"/>
    <w:rsid w:val="009D0948"/>
    <w:rsid w:val="009D0A74"/>
    <w:rsid w:val="009D0CD9"/>
    <w:rsid w:val="009D134B"/>
    <w:rsid w:val="009D1947"/>
    <w:rsid w:val="009D2872"/>
    <w:rsid w:val="009D2BF1"/>
    <w:rsid w:val="009D3E11"/>
    <w:rsid w:val="009D661E"/>
    <w:rsid w:val="009D6E02"/>
    <w:rsid w:val="009E0E32"/>
    <w:rsid w:val="009E108E"/>
    <w:rsid w:val="009E33DE"/>
    <w:rsid w:val="009E3921"/>
    <w:rsid w:val="009E4B74"/>
    <w:rsid w:val="009E5439"/>
    <w:rsid w:val="009E55E6"/>
    <w:rsid w:val="009E5781"/>
    <w:rsid w:val="009E5897"/>
    <w:rsid w:val="009E59EA"/>
    <w:rsid w:val="009E5BFE"/>
    <w:rsid w:val="009F0448"/>
    <w:rsid w:val="009F0688"/>
    <w:rsid w:val="009F2187"/>
    <w:rsid w:val="009F286E"/>
    <w:rsid w:val="009F2FC8"/>
    <w:rsid w:val="009F45C4"/>
    <w:rsid w:val="009F4F89"/>
    <w:rsid w:val="009F6031"/>
    <w:rsid w:val="009F794D"/>
    <w:rsid w:val="00A0079C"/>
    <w:rsid w:val="00A02ED0"/>
    <w:rsid w:val="00A035D6"/>
    <w:rsid w:val="00A045C0"/>
    <w:rsid w:val="00A05471"/>
    <w:rsid w:val="00A05F84"/>
    <w:rsid w:val="00A066FA"/>
    <w:rsid w:val="00A076CE"/>
    <w:rsid w:val="00A078CA"/>
    <w:rsid w:val="00A07DED"/>
    <w:rsid w:val="00A100DE"/>
    <w:rsid w:val="00A1084B"/>
    <w:rsid w:val="00A10C12"/>
    <w:rsid w:val="00A1178F"/>
    <w:rsid w:val="00A11978"/>
    <w:rsid w:val="00A12021"/>
    <w:rsid w:val="00A120D0"/>
    <w:rsid w:val="00A12643"/>
    <w:rsid w:val="00A1322F"/>
    <w:rsid w:val="00A138FE"/>
    <w:rsid w:val="00A17348"/>
    <w:rsid w:val="00A1759A"/>
    <w:rsid w:val="00A214EE"/>
    <w:rsid w:val="00A230AC"/>
    <w:rsid w:val="00A23880"/>
    <w:rsid w:val="00A249BB"/>
    <w:rsid w:val="00A24F03"/>
    <w:rsid w:val="00A25AD0"/>
    <w:rsid w:val="00A261CB"/>
    <w:rsid w:val="00A26D2A"/>
    <w:rsid w:val="00A30D11"/>
    <w:rsid w:val="00A30ED3"/>
    <w:rsid w:val="00A31313"/>
    <w:rsid w:val="00A316D3"/>
    <w:rsid w:val="00A3194D"/>
    <w:rsid w:val="00A33D35"/>
    <w:rsid w:val="00A347BC"/>
    <w:rsid w:val="00A34D8D"/>
    <w:rsid w:val="00A34F76"/>
    <w:rsid w:val="00A34FCE"/>
    <w:rsid w:val="00A37472"/>
    <w:rsid w:val="00A37627"/>
    <w:rsid w:val="00A376B2"/>
    <w:rsid w:val="00A40164"/>
    <w:rsid w:val="00A40361"/>
    <w:rsid w:val="00A40E41"/>
    <w:rsid w:val="00A431D3"/>
    <w:rsid w:val="00A433A1"/>
    <w:rsid w:val="00A43475"/>
    <w:rsid w:val="00A43A1A"/>
    <w:rsid w:val="00A44154"/>
    <w:rsid w:val="00A44C79"/>
    <w:rsid w:val="00A45136"/>
    <w:rsid w:val="00A454A0"/>
    <w:rsid w:val="00A5020A"/>
    <w:rsid w:val="00A512D7"/>
    <w:rsid w:val="00A51BEA"/>
    <w:rsid w:val="00A54344"/>
    <w:rsid w:val="00A54645"/>
    <w:rsid w:val="00A552EF"/>
    <w:rsid w:val="00A56AB6"/>
    <w:rsid w:val="00A56C5E"/>
    <w:rsid w:val="00A57836"/>
    <w:rsid w:val="00A57C55"/>
    <w:rsid w:val="00A6051F"/>
    <w:rsid w:val="00A6169F"/>
    <w:rsid w:val="00A624E1"/>
    <w:rsid w:val="00A62E53"/>
    <w:rsid w:val="00A62F47"/>
    <w:rsid w:val="00A65074"/>
    <w:rsid w:val="00A72347"/>
    <w:rsid w:val="00A72B02"/>
    <w:rsid w:val="00A73D2A"/>
    <w:rsid w:val="00A7459E"/>
    <w:rsid w:val="00A74755"/>
    <w:rsid w:val="00A75369"/>
    <w:rsid w:val="00A7669D"/>
    <w:rsid w:val="00A77856"/>
    <w:rsid w:val="00A800C9"/>
    <w:rsid w:val="00A8122D"/>
    <w:rsid w:val="00A8126D"/>
    <w:rsid w:val="00A81614"/>
    <w:rsid w:val="00A823A0"/>
    <w:rsid w:val="00A825D6"/>
    <w:rsid w:val="00A825E8"/>
    <w:rsid w:val="00A83CCB"/>
    <w:rsid w:val="00A861E7"/>
    <w:rsid w:val="00A869CA"/>
    <w:rsid w:val="00A87D18"/>
    <w:rsid w:val="00A902DF"/>
    <w:rsid w:val="00A90704"/>
    <w:rsid w:val="00A91544"/>
    <w:rsid w:val="00A9216A"/>
    <w:rsid w:val="00A921FB"/>
    <w:rsid w:val="00A92E9B"/>
    <w:rsid w:val="00A94ECE"/>
    <w:rsid w:val="00A969EF"/>
    <w:rsid w:val="00A97B56"/>
    <w:rsid w:val="00AA12A8"/>
    <w:rsid w:val="00AA12F0"/>
    <w:rsid w:val="00AA260B"/>
    <w:rsid w:val="00AA2F01"/>
    <w:rsid w:val="00AA3A1D"/>
    <w:rsid w:val="00AA3AF9"/>
    <w:rsid w:val="00AB1323"/>
    <w:rsid w:val="00AB2A59"/>
    <w:rsid w:val="00AB4F77"/>
    <w:rsid w:val="00AB5900"/>
    <w:rsid w:val="00AB5AD1"/>
    <w:rsid w:val="00AC04B7"/>
    <w:rsid w:val="00AC3432"/>
    <w:rsid w:val="00AC5A8D"/>
    <w:rsid w:val="00AC5DFE"/>
    <w:rsid w:val="00AC65FD"/>
    <w:rsid w:val="00AC680C"/>
    <w:rsid w:val="00AC768F"/>
    <w:rsid w:val="00AC792B"/>
    <w:rsid w:val="00AD0952"/>
    <w:rsid w:val="00AD1078"/>
    <w:rsid w:val="00AD146E"/>
    <w:rsid w:val="00AD31FF"/>
    <w:rsid w:val="00AD57B4"/>
    <w:rsid w:val="00AD596B"/>
    <w:rsid w:val="00AD78B9"/>
    <w:rsid w:val="00AE11C7"/>
    <w:rsid w:val="00AE13E6"/>
    <w:rsid w:val="00AE49B7"/>
    <w:rsid w:val="00AE7310"/>
    <w:rsid w:val="00AF05A3"/>
    <w:rsid w:val="00AF07B1"/>
    <w:rsid w:val="00AF0866"/>
    <w:rsid w:val="00AF09B9"/>
    <w:rsid w:val="00AF0B17"/>
    <w:rsid w:val="00AF33AA"/>
    <w:rsid w:val="00AF420E"/>
    <w:rsid w:val="00AF49CA"/>
    <w:rsid w:val="00AF51F9"/>
    <w:rsid w:val="00AF6300"/>
    <w:rsid w:val="00AF76DF"/>
    <w:rsid w:val="00AF7BDC"/>
    <w:rsid w:val="00B00087"/>
    <w:rsid w:val="00B00128"/>
    <w:rsid w:val="00B00618"/>
    <w:rsid w:val="00B0084F"/>
    <w:rsid w:val="00B0210E"/>
    <w:rsid w:val="00B024C0"/>
    <w:rsid w:val="00B03A34"/>
    <w:rsid w:val="00B03A43"/>
    <w:rsid w:val="00B0416D"/>
    <w:rsid w:val="00B05657"/>
    <w:rsid w:val="00B0615F"/>
    <w:rsid w:val="00B06E39"/>
    <w:rsid w:val="00B07400"/>
    <w:rsid w:val="00B079F9"/>
    <w:rsid w:val="00B10B9A"/>
    <w:rsid w:val="00B11843"/>
    <w:rsid w:val="00B12CCE"/>
    <w:rsid w:val="00B1540F"/>
    <w:rsid w:val="00B166AB"/>
    <w:rsid w:val="00B167A5"/>
    <w:rsid w:val="00B2222F"/>
    <w:rsid w:val="00B24D38"/>
    <w:rsid w:val="00B2553E"/>
    <w:rsid w:val="00B25D73"/>
    <w:rsid w:val="00B26C8D"/>
    <w:rsid w:val="00B27BA8"/>
    <w:rsid w:val="00B30BAF"/>
    <w:rsid w:val="00B3274D"/>
    <w:rsid w:val="00B33698"/>
    <w:rsid w:val="00B33A1F"/>
    <w:rsid w:val="00B33D46"/>
    <w:rsid w:val="00B36ECC"/>
    <w:rsid w:val="00B37BCB"/>
    <w:rsid w:val="00B37CA8"/>
    <w:rsid w:val="00B41200"/>
    <w:rsid w:val="00B41874"/>
    <w:rsid w:val="00B418F3"/>
    <w:rsid w:val="00B420A5"/>
    <w:rsid w:val="00B421EB"/>
    <w:rsid w:val="00B436B4"/>
    <w:rsid w:val="00B43A91"/>
    <w:rsid w:val="00B44A31"/>
    <w:rsid w:val="00B4509E"/>
    <w:rsid w:val="00B511AE"/>
    <w:rsid w:val="00B51651"/>
    <w:rsid w:val="00B51C08"/>
    <w:rsid w:val="00B51C97"/>
    <w:rsid w:val="00B53D35"/>
    <w:rsid w:val="00B54EE9"/>
    <w:rsid w:val="00B55F0D"/>
    <w:rsid w:val="00B56911"/>
    <w:rsid w:val="00B57D49"/>
    <w:rsid w:val="00B60791"/>
    <w:rsid w:val="00B60B74"/>
    <w:rsid w:val="00B61633"/>
    <w:rsid w:val="00B61C49"/>
    <w:rsid w:val="00B6219F"/>
    <w:rsid w:val="00B63341"/>
    <w:rsid w:val="00B6363D"/>
    <w:rsid w:val="00B637EB"/>
    <w:rsid w:val="00B65A8A"/>
    <w:rsid w:val="00B6603C"/>
    <w:rsid w:val="00B673D4"/>
    <w:rsid w:val="00B71963"/>
    <w:rsid w:val="00B72226"/>
    <w:rsid w:val="00B72FAB"/>
    <w:rsid w:val="00B73ACD"/>
    <w:rsid w:val="00B75520"/>
    <w:rsid w:val="00B75A06"/>
    <w:rsid w:val="00B76C2F"/>
    <w:rsid w:val="00B77D08"/>
    <w:rsid w:val="00B802E3"/>
    <w:rsid w:val="00B80709"/>
    <w:rsid w:val="00B8279B"/>
    <w:rsid w:val="00B83479"/>
    <w:rsid w:val="00B83CE5"/>
    <w:rsid w:val="00B83F22"/>
    <w:rsid w:val="00B84E21"/>
    <w:rsid w:val="00B84E9B"/>
    <w:rsid w:val="00B852F2"/>
    <w:rsid w:val="00B86ED8"/>
    <w:rsid w:val="00B87431"/>
    <w:rsid w:val="00B90EC4"/>
    <w:rsid w:val="00B9241B"/>
    <w:rsid w:val="00B92693"/>
    <w:rsid w:val="00B928D3"/>
    <w:rsid w:val="00B93071"/>
    <w:rsid w:val="00B946FE"/>
    <w:rsid w:val="00B94B21"/>
    <w:rsid w:val="00B95474"/>
    <w:rsid w:val="00B95C22"/>
    <w:rsid w:val="00B96CE8"/>
    <w:rsid w:val="00B978EE"/>
    <w:rsid w:val="00B97C18"/>
    <w:rsid w:val="00B97EA1"/>
    <w:rsid w:val="00BA0A7D"/>
    <w:rsid w:val="00BA0BBC"/>
    <w:rsid w:val="00BA26A2"/>
    <w:rsid w:val="00BA3AD6"/>
    <w:rsid w:val="00BA3E5B"/>
    <w:rsid w:val="00BA53C6"/>
    <w:rsid w:val="00BA5A6E"/>
    <w:rsid w:val="00BA7930"/>
    <w:rsid w:val="00BB0491"/>
    <w:rsid w:val="00BB0693"/>
    <w:rsid w:val="00BB176E"/>
    <w:rsid w:val="00BB2DC9"/>
    <w:rsid w:val="00BB332C"/>
    <w:rsid w:val="00BB4AB4"/>
    <w:rsid w:val="00BB4D2F"/>
    <w:rsid w:val="00BB5214"/>
    <w:rsid w:val="00BB63B2"/>
    <w:rsid w:val="00BB6CE1"/>
    <w:rsid w:val="00BB708A"/>
    <w:rsid w:val="00BB7DD0"/>
    <w:rsid w:val="00BC0C20"/>
    <w:rsid w:val="00BC17DD"/>
    <w:rsid w:val="00BC1928"/>
    <w:rsid w:val="00BC2414"/>
    <w:rsid w:val="00BC3CEF"/>
    <w:rsid w:val="00BC3D33"/>
    <w:rsid w:val="00BC5B36"/>
    <w:rsid w:val="00BC5D8C"/>
    <w:rsid w:val="00BC72C1"/>
    <w:rsid w:val="00BD133F"/>
    <w:rsid w:val="00BD29C5"/>
    <w:rsid w:val="00BD3035"/>
    <w:rsid w:val="00BD3370"/>
    <w:rsid w:val="00BD33BE"/>
    <w:rsid w:val="00BD4802"/>
    <w:rsid w:val="00BD494E"/>
    <w:rsid w:val="00BD63D7"/>
    <w:rsid w:val="00BD6410"/>
    <w:rsid w:val="00BD6476"/>
    <w:rsid w:val="00BD7886"/>
    <w:rsid w:val="00BE0EA0"/>
    <w:rsid w:val="00BE20A7"/>
    <w:rsid w:val="00BE22EF"/>
    <w:rsid w:val="00BE540F"/>
    <w:rsid w:val="00BE572C"/>
    <w:rsid w:val="00BF0DAC"/>
    <w:rsid w:val="00BF0DDD"/>
    <w:rsid w:val="00BF178E"/>
    <w:rsid w:val="00BF183C"/>
    <w:rsid w:val="00BF1AF5"/>
    <w:rsid w:val="00BF2880"/>
    <w:rsid w:val="00BF2ACE"/>
    <w:rsid w:val="00BF4327"/>
    <w:rsid w:val="00BF47A3"/>
    <w:rsid w:val="00BF7497"/>
    <w:rsid w:val="00BF7780"/>
    <w:rsid w:val="00C0029C"/>
    <w:rsid w:val="00C0035F"/>
    <w:rsid w:val="00C007FC"/>
    <w:rsid w:val="00C00A7C"/>
    <w:rsid w:val="00C017DF"/>
    <w:rsid w:val="00C0205C"/>
    <w:rsid w:val="00C027E4"/>
    <w:rsid w:val="00C100EE"/>
    <w:rsid w:val="00C1084C"/>
    <w:rsid w:val="00C10B11"/>
    <w:rsid w:val="00C13F5A"/>
    <w:rsid w:val="00C14640"/>
    <w:rsid w:val="00C14EEE"/>
    <w:rsid w:val="00C164C8"/>
    <w:rsid w:val="00C16FC4"/>
    <w:rsid w:val="00C176F0"/>
    <w:rsid w:val="00C17F1D"/>
    <w:rsid w:val="00C208F6"/>
    <w:rsid w:val="00C216D0"/>
    <w:rsid w:val="00C2243B"/>
    <w:rsid w:val="00C2547B"/>
    <w:rsid w:val="00C25E5B"/>
    <w:rsid w:val="00C26F71"/>
    <w:rsid w:val="00C3128F"/>
    <w:rsid w:val="00C33D63"/>
    <w:rsid w:val="00C3416C"/>
    <w:rsid w:val="00C34652"/>
    <w:rsid w:val="00C35D77"/>
    <w:rsid w:val="00C36989"/>
    <w:rsid w:val="00C37FBE"/>
    <w:rsid w:val="00C41AA8"/>
    <w:rsid w:val="00C421CC"/>
    <w:rsid w:val="00C42786"/>
    <w:rsid w:val="00C43001"/>
    <w:rsid w:val="00C43E58"/>
    <w:rsid w:val="00C45EF6"/>
    <w:rsid w:val="00C47462"/>
    <w:rsid w:val="00C47769"/>
    <w:rsid w:val="00C47EF4"/>
    <w:rsid w:val="00C5129B"/>
    <w:rsid w:val="00C512C1"/>
    <w:rsid w:val="00C51B3E"/>
    <w:rsid w:val="00C522D3"/>
    <w:rsid w:val="00C52B32"/>
    <w:rsid w:val="00C53365"/>
    <w:rsid w:val="00C548C2"/>
    <w:rsid w:val="00C54DE7"/>
    <w:rsid w:val="00C57722"/>
    <w:rsid w:val="00C57761"/>
    <w:rsid w:val="00C57C4E"/>
    <w:rsid w:val="00C60A1D"/>
    <w:rsid w:val="00C6306B"/>
    <w:rsid w:val="00C636A6"/>
    <w:rsid w:val="00C6499F"/>
    <w:rsid w:val="00C6546B"/>
    <w:rsid w:val="00C65E60"/>
    <w:rsid w:val="00C669C1"/>
    <w:rsid w:val="00C700E3"/>
    <w:rsid w:val="00C701A1"/>
    <w:rsid w:val="00C70254"/>
    <w:rsid w:val="00C72562"/>
    <w:rsid w:val="00C74EB6"/>
    <w:rsid w:val="00C76914"/>
    <w:rsid w:val="00C76B5E"/>
    <w:rsid w:val="00C770A3"/>
    <w:rsid w:val="00C8215E"/>
    <w:rsid w:val="00C822D1"/>
    <w:rsid w:val="00C828E5"/>
    <w:rsid w:val="00C8345D"/>
    <w:rsid w:val="00C84303"/>
    <w:rsid w:val="00C851C2"/>
    <w:rsid w:val="00C86121"/>
    <w:rsid w:val="00C86737"/>
    <w:rsid w:val="00C871DC"/>
    <w:rsid w:val="00C878EE"/>
    <w:rsid w:val="00C87BA5"/>
    <w:rsid w:val="00C87E0B"/>
    <w:rsid w:val="00C912C2"/>
    <w:rsid w:val="00C91EBE"/>
    <w:rsid w:val="00C942EE"/>
    <w:rsid w:val="00C94683"/>
    <w:rsid w:val="00C948C5"/>
    <w:rsid w:val="00C968A9"/>
    <w:rsid w:val="00C973E0"/>
    <w:rsid w:val="00C97D06"/>
    <w:rsid w:val="00CA05EF"/>
    <w:rsid w:val="00CA106A"/>
    <w:rsid w:val="00CA29CF"/>
    <w:rsid w:val="00CA2A2F"/>
    <w:rsid w:val="00CA3926"/>
    <w:rsid w:val="00CA3C70"/>
    <w:rsid w:val="00CA45C5"/>
    <w:rsid w:val="00CA5033"/>
    <w:rsid w:val="00CA5720"/>
    <w:rsid w:val="00CA576D"/>
    <w:rsid w:val="00CB01CC"/>
    <w:rsid w:val="00CB1208"/>
    <w:rsid w:val="00CB1C68"/>
    <w:rsid w:val="00CB3CB8"/>
    <w:rsid w:val="00CB4091"/>
    <w:rsid w:val="00CB4423"/>
    <w:rsid w:val="00CB4844"/>
    <w:rsid w:val="00CB7086"/>
    <w:rsid w:val="00CC0314"/>
    <w:rsid w:val="00CC07E6"/>
    <w:rsid w:val="00CC0BD7"/>
    <w:rsid w:val="00CC0E81"/>
    <w:rsid w:val="00CC1E28"/>
    <w:rsid w:val="00CC2F89"/>
    <w:rsid w:val="00CC3E35"/>
    <w:rsid w:val="00CC4D2E"/>
    <w:rsid w:val="00CC60DD"/>
    <w:rsid w:val="00CC7AA8"/>
    <w:rsid w:val="00CD1DBD"/>
    <w:rsid w:val="00CD202E"/>
    <w:rsid w:val="00CD220A"/>
    <w:rsid w:val="00CD29E7"/>
    <w:rsid w:val="00CD3CE5"/>
    <w:rsid w:val="00CD4D89"/>
    <w:rsid w:val="00CD54FA"/>
    <w:rsid w:val="00CD724A"/>
    <w:rsid w:val="00CD7387"/>
    <w:rsid w:val="00CD7987"/>
    <w:rsid w:val="00CD7E22"/>
    <w:rsid w:val="00CE056A"/>
    <w:rsid w:val="00CE25A8"/>
    <w:rsid w:val="00CE3286"/>
    <w:rsid w:val="00CE3F1E"/>
    <w:rsid w:val="00CE6670"/>
    <w:rsid w:val="00CE74F5"/>
    <w:rsid w:val="00CE7BAA"/>
    <w:rsid w:val="00CE7C13"/>
    <w:rsid w:val="00CF0173"/>
    <w:rsid w:val="00CF0B2E"/>
    <w:rsid w:val="00CF0D89"/>
    <w:rsid w:val="00CF1632"/>
    <w:rsid w:val="00CF4C19"/>
    <w:rsid w:val="00CF60CE"/>
    <w:rsid w:val="00CF6A00"/>
    <w:rsid w:val="00D00BD0"/>
    <w:rsid w:val="00D02304"/>
    <w:rsid w:val="00D024A6"/>
    <w:rsid w:val="00D03DC5"/>
    <w:rsid w:val="00D05797"/>
    <w:rsid w:val="00D05909"/>
    <w:rsid w:val="00D05B89"/>
    <w:rsid w:val="00D11368"/>
    <w:rsid w:val="00D118C5"/>
    <w:rsid w:val="00D13181"/>
    <w:rsid w:val="00D1338B"/>
    <w:rsid w:val="00D13B76"/>
    <w:rsid w:val="00D149A1"/>
    <w:rsid w:val="00D14FAA"/>
    <w:rsid w:val="00D15879"/>
    <w:rsid w:val="00D16162"/>
    <w:rsid w:val="00D2096E"/>
    <w:rsid w:val="00D21674"/>
    <w:rsid w:val="00D216AF"/>
    <w:rsid w:val="00D21FEE"/>
    <w:rsid w:val="00D22171"/>
    <w:rsid w:val="00D23AEC"/>
    <w:rsid w:val="00D23E81"/>
    <w:rsid w:val="00D23E9D"/>
    <w:rsid w:val="00D26EBC"/>
    <w:rsid w:val="00D26FFA"/>
    <w:rsid w:val="00D271E4"/>
    <w:rsid w:val="00D27510"/>
    <w:rsid w:val="00D30012"/>
    <w:rsid w:val="00D30A25"/>
    <w:rsid w:val="00D3127B"/>
    <w:rsid w:val="00D337CE"/>
    <w:rsid w:val="00D349FE"/>
    <w:rsid w:val="00D35A63"/>
    <w:rsid w:val="00D41C26"/>
    <w:rsid w:val="00D42390"/>
    <w:rsid w:val="00D4273B"/>
    <w:rsid w:val="00D43267"/>
    <w:rsid w:val="00D46633"/>
    <w:rsid w:val="00D473B8"/>
    <w:rsid w:val="00D50243"/>
    <w:rsid w:val="00D52323"/>
    <w:rsid w:val="00D52754"/>
    <w:rsid w:val="00D53041"/>
    <w:rsid w:val="00D5353B"/>
    <w:rsid w:val="00D5602B"/>
    <w:rsid w:val="00D56A07"/>
    <w:rsid w:val="00D57680"/>
    <w:rsid w:val="00D57722"/>
    <w:rsid w:val="00D606A5"/>
    <w:rsid w:val="00D609F6"/>
    <w:rsid w:val="00D6136E"/>
    <w:rsid w:val="00D61ADF"/>
    <w:rsid w:val="00D61DD3"/>
    <w:rsid w:val="00D623A3"/>
    <w:rsid w:val="00D6257C"/>
    <w:rsid w:val="00D62B05"/>
    <w:rsid w:val="00D64CD8"/>
    <w:rsid w:val="00D65538"/>
    <w:rsid w:val="00D6553C"/>
    <w:rsid w:val="00D6668A"/>
    <w:rsid w:val="00D678CA"/>
    <w:rsid w:val="00D67D2D"/>
    <w:rsid w:val="00D71761"/>
    <w:rsid w:val="00D729BD"/>
    <w:rsid w:val="00D742EA"/>
    <w:rsid w:val="00D74464"/>
    <w:rsid w:val="00D74E59"/>
    <w:rsid w:val="00D75289"/>
    <w:rsid w:val="00D76DE5"/>
    <w:rsid w:val="00D77A68"/>
    <w:rsid w:val="00D81113"/>
    <w:rsid w:val="00D81226"/>
    <w:rsid w:val="00D834BD"/>
    <w:rsid w:val="00D83676"/>
    <w:rsid w:val="00D859F6"/>
    <w:rsid w:val="00D87188"/>
    <w:rsid w:val="00D8721F"/>
    <w:rsid w:val="00D90C7D"/>
    <w:rsid w:val="00D911CF"/>
    <w:rsid w:val="00D92BB1"/>
    <w:rsid w:val="00D930A9"/>
    <w:rsid w:val="00D942E0"/>
    <w:rsid w:val="00D94365"/>
    <w:rsid w:val="00D94740"/>
    <w:rsid w:val="00D95F84"/>
    <w:rsid w:val="00D97565"/>
    <w:rsid w:val="00D97AF4"/>
    <w:rsid w:val="00D97B50"/>
    <w:rsid w:val="00DA224F"/>
    <w:rsid w:val="00DA2C6F"/>
    <w:rsid w:val="00DA3AB3"/>
    <w:rsid w:val="00DA4C46"/>
    <w:rsid w:val="00DA5010"/>
    <w:rsid w:val="00DA70D3"/>
    <w:rsid w:val="00DB0EB2"/>
    <w:rsid w:val="00DB1F4F"/>
    <w:rsid w:val="00DB359B"/>
    <w:rsid w:val="00DB3F92"/>
    <w:rsid w:val="00DB4CC8"/>
    <w:rsid w:val="00DB56F2"/>
    <w:rsid w:val="00DB5A48"/>
    <w:rsid w:val="00DB6A46"/>
    <w:rsid w:val="00DB7116"/>
    <w:rsid w:val="00DC0A24"/>
    <w:rsid w:val="00DC190A"/>
    <w:rsid w:val="00DC2548"/>
    <w:rsid w:val="00DC27CA"/>
    <w:rsid w:val="00DC3060"/>
    <w:rsid w:val="00DC40C2"/>
    <w:rsid w:val="00DC667D"/>
    <w:rsid w:val="00DC6AF0"/>
    <w:rsid w:val="00DC6C0A"/>
    <w:rsid w:val="00DC72F0"/>
    <w:rsid w:val="00DC7570"/>
    <w:rsid w:val="00DC7770"/>
    <w:rsid w:val="00DC7D52"/>
    <w:rsid w:val="00DD030A"/>
    <w:rsid w:val="00DD24AB"/>
    <w:rsid w:val="00DD2A68"/>
    <w:rsid w:val="00DD6372"/>
    <w:rsid w:val="00DD6C00"/>
    <w:rsid w:val="00DE06A6"/>
    <w:rsid w:val="00DE0957"/>
    <w:rsid w:val="00DE2023"/>
    <w:rsid w:val="00DE202F"/>
    <w:rsid w:val="00DE2475"/>
    <w:rsid w:val="00DE3CA9"/>
    <w:rsid w:val="00DE42FF"/>
    <w:rsid w:val="00DE4D08"/>
    <w:rsid w:val="00DE56DC"/>
    <w:rsid w:val="00DE5B4B"/>
    <w:rsid w:val="00DE709E"/>
    <w:rsid w:val="00DF113A"/>
    <w:rsid w:val="00DF16AB"/>
    <w:rsid w:val="00DF16EC"/>
    <w:rsid w:val="00DF1A92"/>
    <w:rsid w:val="00DF227E"/>
    <w:rsid w:val="00DF227F"/>
    <w:rsid w:val="00DF2F31"/>
    <w:rsid w:val="00DF3C6D"/>
    <w:rsid w:val="00DF3F27"/>
    <w:rsid w:val="00DF500C"/>
    <w:rsid w:val="00DF5060"/>
    <w:rsid w:val="00DF7263"/>
    <w:rsid w:val="00DF7606"/>
    <w:rsid w:val="00E00F3C"/>
    <w:rsid w:val="00E01727"/>
    <w:rsid w:val="00E01F3F"/>
    <w:rsid w:val="00E01F90"/>
    <w:rsid w:val="00E032E6"/>
    <w:rsid w:val="00E0374D"/>
    <w:rsid w:val="00E03F07"/>
    <w:rsid w:val="00E04751"/>
    <w:rsid w:val="00E07378"/>
    <w:rsid w:val="00E10674"/>
    <w:rsid w:val="00E108A5"/>
    <w:rsid w:val="00E10F56"/>
    <w:rsid w:val="00E11683"/>
    <w:rsid w:val="00E12EF0"/>
    <w:rsid w:val="00E12F58"/>
    <w:rsid w:val="00E133B6"/>
    <w:rsid w:val="00E13EEA"/>
    <w:rsid w:val="00E13FE3"/>
    <w:rsid w:val="00E14934"/>
    <w:rsid w:val="00E155BA"/>
    <w:rsid w:val="00E1659A"/>
    <w:rsid w:val="00E16A72"/>
    <w:rsid w:val="00E16CF9"/>
    <w:rsid w:val="00E20706"/>
    <w:rsid w:val="00E21B99"/>
    <w:rsid w:val="00E23AB4"/>
    <w:rsid w:val="00E23D42"/>
    <w:rsid w:val="00E23DD5"/>
    <w:rsid w:val="00E26C79"/>
    <w:rsid w:val="00E26CA6"/>
    <w:rsid w:val="00E26CF8"/>
    <w:rsid w:val="00E27AE8"/>
    <w:rsid w:val="00E31CDA"/>
    <w:rsid w:val="00E31D45"/>
    <w:rsid w:val="00E32273"/>
    <w:rsid w:val="00E33791"/>
    <w:rsid w:val="00E34509"/>
    <w:rsid w:val="00E347F6"/>
    <w:rsid w:val="00E34AA2"/>
    <w:rsid w:val="00E35C99"/>
    <w:rsid w:val="00E37765"/>
    <w:rsid w:val="00E37B66"/>
    <w:rsid w:val="00E40067"/>
    <w:rsid w:val="00E40612"/>
    <w:rsid w:val="00E44793"/>
    <w:rsid w:val="00E4498C"/>
    <w:rsid w:val="00E46397"/>
    <w:rsid w:val="00E5010C"/>
    <w:rsid w:val="00E50D0F"/>
    <w:rsid w:val="00E50E37"/>
    <w:rsid w:val="00E5306D"/>
    <w:rsid w:val="00E534BB"/>
    <w:rsid w:val="00E53DFE"/>
    <w:rsid w:val="00E5406C"/>
    <w:rsid w:val="00E55725"/>
    <w:rsid w:val="00E55A18"/>
    <w:rsid w:val="00E608CB"/>
    <w:rsid w:val="00E61068"/>
    <w:rsid w:val="00E6176E"/>
    <w:rsid w:val="00E625EC"/>
    <w:rsid w:val="00E62AC1"/>
    <w:rsid w:val="00E6355E"/>
    <w:rsid w:val="00E6443D"/>
    <w:rsid w:val="00E64D45"/>
    <w:rsid w:val="00E657C4"/>
    <w:rsid w:val="00E6683C"/>
    <w:rsid w:val="00E6703B"/>
    <w:rsid w:val="00E6733F"/>
    <w:rsid w:val="00E67476"/>
    <w:rsid w:val="00E67D34"/>
    <w:rsid w:val="00E701DC"/>
    <w:rsid w:val="00E7053D"/>
    <w:rsid w:val="00E70738"/>
    <w:rsid w:val="00E70E7F"/>
    <w:rsid w:val="00E723F4"/>
    <w:rsid w:val="00E73E47"/>
    <w:rsid w:val="00E74BE7"/>
    <w:rsid w:val="00E75BC7"/>
    <w:rsid w:val="00E765D8"/>
    <w:rsid w:val="00E7714D"/>
    <w:rsid w:val="00E7766D"/>
    <w:rsid w:val="00E80D62"/>
    <w:rsid w:val="00E80EF8"/>
    <w:rsid w:val="00E82040"/>
    <w:rsid w:val="00E822C3"/>
    <w:rsid w:val="00E82A0E"/>
    <w:rsid w:val="00E835C7"/>
    <w:rsid w:val="00E848E1"/>
    <w:rsid w:val="00E8531E"/>
    <w:rsid w:val="00E85682"/>
    <w:rsid w:val="00E864E3"/>
    <w:rsid w:val="00E879FD"/>
    <w:rsid w:val="00E9207F"/>
    <w:rsid w:val="00E92FAB"/>
    <w:rsid w:val="00E93597"/>
    <w:rsid w:val="00E954DB"/>
    <w:rsid w:val="00E96529"/>
    <w:rsid w:val="00E97E44"/>
    <w:rsid w:val="00E97ECC"/>
    <w:rsid w:val="00EA226D"/>
    <w:rsid w:val="00EA2966"/>
    <w:rsid w:val="00EA3DE0"/>
    <w:rsid w:val="00EA3EB1"/>
    <w:rsid w:val="00EA4035"/>
    <w:rsid w:val="00EA4251"/>
    <w:rsid w:val="00EA4512"/>
    <w:rsid w:val="00EA5352"/>
    <w:rsid w:val="00EA5D03"/>
    <w:rsid w:val="00EA6021"/>
    <w:rsid w:val="00EA6F1B"/>
    <w:rsid w:val="00EA7905"/>
    <w:rsid w:val="00EA7F12"/>
    <w:rsid w:val="00EA7F2A"/>
    <w:rsid w:val="00EB073E"/>
    <w:rsid w:val="00EB127E"/>
    <w:rsid w:val="00EB1B3A"/>
    <w:rsid w:val="00EB25C6"/>
    <w:rsid w:val="00EB3C6C"/>
    <w:rsid w:val="00EB4BA5"/>
    <w:rsid w:val="00EB7B28"/>
    <w:rsid w:val="00EC0ACC"/>
    <w:rsid w:val="00EC12CC"/>
    <w:rsid w:val="00EC242B"/>
    <w:rsid w:val="00EC25A1"/>
    <w:rsid w:val="00EC2A44"/>
    <w:rsid w:val="00EC309C"/>
    <w:rsid w:val="00EC35C1"/>
    <w:rsid w:val="00EC4A8C"/>
    <w:rsid w:val="00EC51A7"/>
    <w:rsid w:val="00ED0A69"/>
    <w:rsid w:val="00ED16D0"/>
    <w:rsid w:val="00ED2F82"/>
    <w:rsid w:val="00ED3E19"/>
    <w:rsid w:val="00ED41AD"/>
    <w:rsid w:val="00ED508A"/>
    <w:rsid w:val="00ED714C"/>
    <w:rsid w:val="00EE0A8E"/>
    <w:rsid w:val="00EE0D96"/>
    <w:rsid w:val="00EE1285"/>
    <w:rsid w:val="00EE26D5"/>
    <w:rsid w:val="00EE3D5B"/>
    <w:rsid w:val="00EE5944"/>
    <w:rsid w:val="00EE6064"/>
    <w:rsid w:val="00EE6C7E"/>
    <w:rsid w:val="00EF105A"/>
    <w:rsid w:val="00EF1081"/>
    <w:rsid w:val="00EF14BA"/>
    <w:rsid w:val="00EF15C4"/>
    <w:rsid w:val="00EF26AF"/>
    <w:rsid w:val="00EF2A53"/>
    <w:rsid w:val="00EF31D0"/>
    <w:rsid w:val="00EF3284"/>
    <w:rsid w:val="00EF3394"/>
    <w:rsid w:val="00EF5060"/>
    <w:rsid w:val="00EF515C"/>
    <w:rsid w:val="00EF5684"/>
    <w:rsid w:val="00EF6BCE"/>
    <w:rsid w:val="00EF7A73"/>
    <w:rsid w:val="00EF7DD5"/>
    <w:rsid w:val="00F00387"/>
    <w:rsid w:val="00F01105"/>
    <w:rsid w:val="00F01A0C"/>
    <w:rsid w:val="00F01D52"/>
    <w:rsid w:val="00F02F1F"/>
    <w:rsid w:val="00F032F7"/>
    <w:rsid w:val="00F036E5"/>
    <w:rsid w:val="00F03990"/>
    <w:rsid w:val="00F04A4B"/>
    <w:rsid w:val="00F04BD8"/>
    <w:rsid w:val="00F06A2E"/>
    <w:rsid w:val="00F06C2F"/>
    <w:rsid w:val="00F06F12"/>
    <w:rsid w:val="00F071D3"/>
    <w:rsid w:val="00F0726D"/>
    <w:rsid w:val="00F07F33"/>
    <w:rsid w:val="00F10649"/>
    <w:rsid w:val="00F1375D"/>
    <w:rsid w:val="00F1525B"/>
    <w:rsid w:val="00F15434"/>
    <w:rsid w:val="00F17359"/>
    <w:rsid w:val="00F17478"/>
    <w:rsid w:val="00F20528"/>
    <w:rsid w:val="00F20C31"/>
    <w:rsid w:val="00F21BE4"/>
    <w:rsid w:val="00F248CE"/>
    <w:rsid w:val="00F24D94"/>
    <w:rsid w:val="00F25127"/>
    <w:rsid w:val="00F2526E"/>
    <w:rsid w:val="00F267AB"/>
    <w:rsid w:val="00F27864"/>
    <w:rsid w:val="00F31FC1"/>
    <w:rsid w:val="00F32078"/>
    <w:rsid w:val="00F3226A"/>
    <w:rsid w:val="00F32643"/>
    <w:rsid w:val="00F33C0F"/>
    <w:rsid w:val="00F3445B"/>
    <w:rsid w:val="00F34F29"/>
    <w:rsid w:val="00F356DB"/>
    <w:rsid w:val="00F35B35"/>
    <w:rsid w:val="00F3717B"/>
    <w:rsid w:val="00F37971"/>
    <w:rsid w:val="00F37A6A"/>
    <w:rsid w:val="00F37EDE"/>
    <w:rsid w:val="00F411BA"/>
    <w:rsid w:val="00F41A00"/>
    <w:rsid w:val="00F41A1B"/>
    <w:rsid w:val="00F425AF"/>
    <w:rsid w:val="00F43AB8"/>
    <w:rsid w:val="00F43DC1"/>
    <w:rsid w:val="00F44520"/>
    <w:rsid w:val="00F46093"/>
    <w:rsid w:val="00F47227"/>
    <w:rsid w:val="00F47E70"/>
    <w:rsid w:val="00F5207F"/>
    <w:rsid w:val="00F52A41"/>
    <w:rsid w:val="00F537A8"/>
    <w:rsid w:val="00F53AEA"/>
    <w:rsid w:val="00F53C18"/>
    <w:rsid w:val="00F541D8"/>
    <w:rsid w:val="00F54718"/>
    <w:rsid w:val="00F60535"/>
    <w:rsid w:val="00F60A31"/>
    <w:rsid w:val="00F60AD8"/>
    <w:rsid w:val="00F62449"/>
    <w:rsid w:val="00F63217"/>
    <w:rsid w:val="00F653D0"/>
    <w:rsid w:val="00F658A1"/>
    <w:rsid w:val="00F65D95"/>
    <w:rsid w:val="00F66638"/>
    <w:rsid w:val="00F717D3"/>
    <w:rsid w:val="00F7432F"/>
    <w:rsid w:val="00F74C34"/>
    <w:rsid w:val="00F76F32"/>
    <w:rsid w:val="00F770A0"/>
    <w:rsid w:val="00F77E96"/>
    <w:rsid w:val="00F80BC1"/>
    <w:rsid w:val="00F80E4B"/>
    <w:rsid w:val="00F813AC"/>
    <w:rsid w:val="00F818A4"/>
    <w:rsid w:val="00F82867"/>
    <w:rsid w:val="00F82A2B"/>
    <w:rsid w:val="00F82FDD"/>
    <w:rsid w:val="00F832A2"/>
    <w:rsid w:val="00F84156"/>
    <w:rsid w:val="00F853CB"/>
    <w:rsid w:val="00F8614D"/>
    <w:rsid w:val="00F8670D"/>
    <w:rsid w:val="00F86EA8"/>
    <w:rsid w:val="00F903BC"/>
    <w:rsid w:val="00F90D4E"/>
    <w:rsid w:val="00F931EB"/>
    <w:rsid w:val="00F94632"/>
    <w:rsid w:val="00F95179"/>
    <w:rsid w:val="00F9599C"/>
    <w:rsid w:val="00F968CC"/>
    <w:rsid w:val="00FA02D3"/>
    <w:rsid w:val="00FA16BE"/>
    <w:rsid w:val="00FA21E7"/>
    <w:rsid w:val="00FA2583"/>
    <w:rsid w:val="00FA2F8F"/>
    <w:rsid w:val="00FA3599"/>
    <w:rsid w:val="00FA6212"/>
    <w:rsid w:val="00FA6DC5"/>
    <w:rsid w:val="00FB105D"/>
    <w:rsid w:val="00FB11B8"/>
    <w:rsid w:val="00FB1398"/>
    <w:rsid w:val="00FB39CC"/>
    <w:rsid w:val="00FB3ADB"/>
    <w:rsid w:val="00FB3B3A"/>
    <w:rsid w:val="00FB40C9"/>
    <w:rsid w:val="00FB4F2C"/>
    <w:rsid w:val="00FB5E48"/>
    <w:rsid w:val="00FB5ECF"/>
    <w:rsid w:val="00FB6098"/>
    <w:rsid w:val="00FB670B"/>
    <w:rsid w:val="00FB6EEF"/>
    <w:rsid w:val="00FC232F"/>
    <w:rsid w:val="00FC300B"/>
    <w:rsid w:val="00FC34A9"/>
    <w:rsid w:val="00FC404B"/>
    <w:rsid w:val="00FC4420"/>
    <w:rsid w:val="00FC44AD"/>
    <w:rsid w:val="00FC603D"/>
    <w:rsid w:val="00FC6574"/>
    <w:rsid w:val="00FD00DA"/>
    <w:rsid w:val="00FD00FD"/>
    <w:rsid w:val="00FD2EAC"/>
    <w:rsid w:val="00FD3D19"/>
    <w:rsid w:val="00FD401F"/>
    <w:rsid w:val="00FD4D61"/>
    <w:rsid w:val="00FD6D7C"/>
    <w:rsid w:val="00FD72E0"/>
    <w:rsid w:val="00FD7C17"/>
    <w:rsid w:val="00FE09B7"/>
    <w:rsid w:val="00FE206E"/>
    <w:rsid w:val="00FE2125"/>
    <w:rsid w:val="00FE2214"/>
    <w:rsid w:val="00FE2D6E"/>
    <w:rsid w:val="00FE580B"/>
    <w:rsid w:val="00FE7179"/>
    <w:rsid w:val="00FE7458"/>
    <w:rsid w:val="00FF148F"/>
    <w:rsid w:val="00FF3984"/>
    <w:rsid w:val="00FF3CB8"/>
    <w:rsid w:val="00FF410F"/>
    <w:rsid w:val="00FF4AED"/>
    <w:rsid w:val="00FF4D99"/>
    <w:rsid w:val="00FF7E32"/>
    <w:rsid w:val="00FF7E86"/>
    <w:rsid w:val="014C613C"/>
    <w:rsid w:val="018D025D"/>
    <w:rsid w:val="01A83C46"/>
    <w:rsid w:val="01D11587"/>
    <w:rsid w:val="01E305A8"/>
    <w:rsid w:val="01F34FBF"/>
    <w:rsid w:val="01F72CA8"/>
    <w:rsid w:val="0215595E"/>
    <w:rsid w:val="0222008D"/>
    <w:rsid w:val="02264514"/>
    <w:rsid w:val="022E51A4"/>
    <w:rsid w:val="02673E61"/>
    <w:rsid w:val="02B60D5E"/>
    <w:rsid w:val="02E5291D"/>
    <w:rsid w:val="032D3A42"/>
    <w:rsid w:val="033433CD"/>
    <w:rsid w:val="03425F66"/>
    <w:rsid w:val="03563CB7"/>
    <w:rsid w:val="03564C06"/>
    <w:rsid w:val="03820F4E"/>
    <w:rsid w:val="039F7E37"/>
    <w:rsid w:val="03E9547A"/>
    <w:rsid w:val="03FA7913"/>
    <w:rsid w:val="03FD3D3A"/>
    <w:rsid w:val="042F016D"/>
    <w:rsid w:val="04427F5A"/>
    <w:rsid w:val="04BB7C17"/>
    <w:rsid w:val="04E52208"/>
    <w:rsid w:val="04FA68C4"/>
    <w:rsid w:val="054A6E4D"/>
    <w:rsid w:val="057D414D"/>
    <w:rsid w:val="05A3366B"/>
    <w:rsid w:val="05D94925"/>
    <w:rsid w:val="05F763A3"/>
    <w:rsid w:val="060D43B5"/>
    <w:rsid w:val="06281F2C"/>
    <w:rsid w:val="065B19FB"/>
    <w:rsid w:val="06875F8A"/>
    <w:rsid w:val="069C49EE"/>
    <w:rsid w:val="06A60EFF"/>
    <w:rsid w:val="06B46DD0"/>
    <w:rsid w:val="06CF0127"/>
    <w:rsid w:val="070B051A"/>
    <w:rsid w:val="072510C4"/>
    <w:rsid w:val="074F536A"/>
    <w:rsid w:val="07724A47"/>
    <w:rsid w:val="07AF0524"/>
    <w:rsid w:val="07BC5B5E"/>
    <w:rsid w:val="07DB0C2F"/>
    <w:rsid w:val="08011727"/>
    <w:rsid w:val="08020003"/>
    <w:rsid w:val="084A2225"/>
    <w:rsid w:val="088F199B"/>
    <w:rsid w:val="08952872"/>
    <w:rsid w:val="08A502BB"/>
    <w:rsid w:val="08E46EA7"/>
    <w:rsid w:val="08E73603"/>
    <w:rsid w:val="09261B0E"/>
    <w:rsid w:val="09937F44"/>
    <w:rsid w:val="09E06664"/>
    <w:rsid w:val="0A155E3B"/>
    <w:rsid w:val="0A1B45C1"/>
    <w:rsid w:val="0A397979"/>
    <w:rsid w:val="0A3D4B5A"/>
    <w:rsid w:val="0A887F96"/>
    <w:rsid w:val="0A8F6EE2"/>
    <w:rsid w:val="0AA2487E"/>
    <w:rsid w:val="0AB822A5"/>
    <w:rsid w:val="0B6D4294"/>
    <w:rsid w:val="0B8E5780"/>
    <w:rsid w:val="0B911F88"/>
    <w:rsid w:val="0BA047A1"/>
    <w:rsid w:val="0C0227C0"/>
    <w:rsid w:val="0C2067E5"/>
    <w:rsid w:val="0C5C1F83"/>
    <w:rsid w:val="0C8E0BA6"/>
    <w:rsid w:val="0CCB0A0B"/>
    <w:rsid w:val="0CEB0F40"/>
    <w:rsid w:val="0D200115"/>
    <w:rsid w:val="0D4F31E3"/>
    <w:rsid w:val="0D580381"/>
    <w:rsid w:val="0D6E3A97"/>
    <w:rsid w:val="0D770B24"/>
    <w:rsid w:val="0DC0221D"/>
    <w:rsid w:val="0E0328C9"/>
    <w:rsid w:val="0EA04C4B"/>
    <w:rsid w:val="0EA67AA0"/>
    <w:rsid w:val="0EE77EE6"/>
    <w:rsid w:val="0EF252CF"/>
    <w:rsid w:val="0EF9321E"/>
    <w:rsid w:val="0F0E7B3C"/>
    <w:rsid w:val="0F1F4F0D"/>
    <w:rsid w:val="0F2E78E2"/>
    <w:rsid w:val="0F2F7B65"/>
    <w:rsid w:val="0F4F1BEE"/>
    <w:rsid w:val="0F8A622C"/>
    <w:rsid w:val="0FA201B4"/>
    <w:rsid w:val="0FB86E23"/>
    <w:rsid w:val="101F60B0"/>
    <w:rsid w:val="10591EE1"/>
    <w:rsid w:val="106F4084"/>
    <w:rsid w:val="10776E02"/>
    <w:rsid w:val="10990B4A"/>
    <w:rsid w:val="10F16DCD"/>
    <w:rsid w:val="11334387"/>
    <w:rsid w:val="11AD4D91"/>
    <w:rsid w:val="12147728"/>
    <w:rsid w:val="12236F4E"/>
    <w:rsid w:val="124364D1"/>
    <w:rsid w:val="12552C20"/>
    <w:rsid w:val="12650CA8"/>
    <w:rsid w:val="12681C41"/>
    <w:rsid w:val="12A85450"/>
    <w:rsid w:val="12BD03DB"/>
    <w:rsid w:val="12BD714C"/>
    <w:rsid w:val="12E84E84"/>
    <w:rsid w:val="12F450A8"/>
    <w:rsid w:val="13163A21"/>
    <w:rsid w:val="1345689B"/>
    <w:rsid w:val="1349056A"/>
    <w:rsid w:val="13CA6005"/>
    <w:rsid w:val="13DD51B0"/>
    <w:rsid w:val="13F935E5"/>
    <w:rsid w:val="14067D87"/>
    <w:rsid w:val="143F4E68"/>
    <w:rsid w:val="145E6879"/>
    <w:rsid w:val="147A2925"/>
    <w:rsid w:val="147A65F7"/>
    <w:rsid w:val="14974454"/>
    <w:rsid w:val="14EB1A7E"/>
    <w:rsid w:val="14F53A43"/>
    <w:rsid w:val="14FC1BFA"/>
    <w:rsid w:val="151946CE"/>
    <w:rsid w:val="155378AF"/>
    <w:rsid w:val="15795F43"/>
    <w:rsid w:val="15B83632"/>
    <w:rsid w:val="161426C7"/>
    <w:rsid w:val="162177DE"/>
    <w:rsid w:val="163621E4"/>
    <w:rsid w:val="16BC527A"/>
    <w:rsid w:val="16CE6977"/>
    <w:rsid w:val="16E4081B"/>
    <w:rsid w:val="1734191A"/>
    <w:rsid w:val="176432ED"/>
    <w:rsid w:val="1782289D"/>
    <w:rsid w:val="178F77B7"/>
    <w:rsid w:val="17995A2F"/>
    <w:rsid w:val="17D07BB8"/>
    <w:rsid w:val="18566DF0"/>
    <w:rsid w:val="1876442F"/>
    <w:rsid w:val="18B03CAF"/>
    <w:rsid w:val="18B74E99"/>
    <w:rsid w:val="19035318"/>
    <w:rsid w:val="190A1AFF"/>
    <w:rsid w:val="1910208D"/>
    <w:rsid w:val="191C0440"/>
    <w:rsid w:val="195924A3"/>
    <w:rsid w:val="1961485C"/>
    <w:rsid w:val="19AD2C06"/>
    <w:rsid w:val="19BD41E8"/>
    <w:rsid w:val="19BE7C49"/>
    <w:rsid w:val="19CE4C7D"/>
    <w:rsid w:val="19D20E68"/>
    <w:rsid w:val="19D44CC7"/>
    <w:rsid w:val="1A1700B7"/>
    <w:rsid w:val="1A81100C"/>
    <w:rsid w:val="1A9234A5"/>
    <w:rsid w:val="1B6202FA"/>
    <w:rsid w:val="1B9815C3"/>
    <w:rsid w:val="1BFA1057"/>
    <w:rsid w:val="1C220170"/>
    <w:rsid w:val="1C2C4F31"/>
    <w:rsid w:val="1CF3322F"/>
    <w:rsid w:val="1D0009C6"/>
    <w:rsid w:val="1D361FA1"/>
    <w:rsid w:val="1D640224"/>
    <w:rsid w:val="1DB34347"/>
    <w:rsid w:val="1DBB4856"/>
    <w:rsid w:val="1DCC746F"/>
    <w:rsid w:val="1DDF277A"/>
    <w:rsid w:val="1DEB39C5"/>
    <w:rsid w:val="1DEB44A1"/>
    <w:rsid w:val="1DF5393E"/>
    <w:rsid w:val="1E133467"/>
    <w:rsid w:val="1ECF005A"/>
    <w:rsid w:val="1ED27E81"/>
    <w:rsid w:val="1EE6018D"/>
    <w:rsid w:val="1EF53A59"/>
    <w:rsid w:val="1F380BBF"/>
    <w:rsid w:val="1FB83797"/>
    <w:rsid w:val="1FDA4FD1"/>
    <w:rsid w:val="20002145"/>
    <w:rsid w:val="200A5B20"/>
    <w:rsid w:val="205C42A5"/>
    <w:rsid w:val="20695ACD"/>
    <w:rsid w:val="20813340"/>
    <w:rsid w:val="20D1643B"/>
    <w:rsid w:val="20D76A47"/>
    <w:rsid w:val="20E46ED7"/>
    <w:rsid w:val="21625D51"/>
    <w:rsid w:val="216A5351"/>
    <w:rsid w:val="21F42BC1"/>
    <w:rsid w:val="21F97BBF"/>
    <w:rsid w:val="220358DB"/>
    <w:rsid w:val="220A0AE9"/>
    <w:rsid w:val="22AA6F05"/>
    <w:rsid w:val="22D66F38"/>
    <w:rsid w:val="22DA1080"/>
    <w:rsid w:val="23436267"/>
    <w:rsid w:val="23CF16CE"/>
    <w:rsid w:val="24435E0A"/>
    <w:rsid w:val="24752F34"/>
    <w:rsid w:val="24A148B0"/>
    <w:rsid w:val="24A20D4F"/>
    <w:rsid w:val="24C044DA"/>
    <w:rsid w:val="24F84634"/>
    <w:rsid w:val="254060AD"/>
    <w:rsid w:val="25502AC4"/>
    <w:rsid w:val="25C97EC1"/>
    <w:rsid w:val="25EF5C27"/>
    <w:rsid w:val="25EF6586"/>
    <w:rsid w:val="264F6C21"/>
    <w:rsid w:val="265B6EBA"/>
    <w:rsid w:val="267E533A"/>
    <w:rsid w:val="26CD6B38"/>
    <w:rsid w:val="270B3014"/>
    <w:rsid w:val="27214ED9"/>
    <w:rsid w:val="272A364F"/>
    <w:rsid w:val="273803E6"/>
    <w:rsid w:val="27401D9B"/>
    <w:rsid w:val="274A4B27"/>
    <w:rsid w:val="27B04ADB"/>
    <w:rsid w:val="27D60AE3"/>
    <w:rsid w:val="27DF3718"/>
    <w:rsid w:val="27E745D1"/>
    <w:rsid w:val="27EF069B"/>
    <w:rsid w:val="281213CE"/>
    <w:rsid w:val="281510B0"/>
    <w:rsid w:val="281D195D"/>
    <w:rsid w:val="289026F4"/>
    <w:rsid w:val="28C433F0"/>
    <w:rsid w:val="292F62A6"/>
    <w:rsid w:val="29413FA0"/>
    <w:rsid w:val="296E5E07"/>
    <w:rsid w:val="29741F0F"/>
    <w:rsid w:val="29815764"/>
    <w:rsid w:val="298924FD"/>
    <w:rsid w:val="29937778"/>
    <w:rsid w:val="29A504DF"/>
    <w:rsid w:val="29BB2683"/>
    <w:rsid w:val="29D137E8"/>
    <w:rsid w:val="29D332B6"/>
    <w:rsid w:val="2A134397"/>
    <w:rsid w:val="2A171D12"/>
    <w:rsid w:val="2A572C49"/>
    <w:rsid w:val="2A870604"/>
    <w:rsid w:val="2AB268AE"/>
    <w:rsid w:val="2ACC52FA"/>
    <w:rsid w:val="2AD33150"/>
    <w:rsid w:val="2AD71504"/>
    <w:rsid w:val="2ADA2052"/>
    <w:rsid w:val="2AE568ED"/>
    <w:rsid w:val="2B28065B"/>
    <w:rsid w:val="2B501E79"/>
    <w:rsid w:val="2B7E609A"/>
    <w:rsid w:val="2B9518B5"/>
    <w:rsid w:val="2BD26409"/>
    <w:rsid w:val="2BD31184"/>
    <w:rsid w:val="2BEE4BA1"/>
    <w:rsid w:val="2C0D5456"/>
    <w:rsid w:val="2C507445"/>
    <w:rsid w:val="2C6270DE"/>
    <w:rsid w:val="2D375D60"/>
    <w:rsid w:val="2D6D4A86"/>
    <w:rsid w:val="2D9245E1"/>
    <w:rsid w:val="2DCF1BCB"/>
    <w:rsid w:val="2E15678D"/>
    <w:rsid w:val="2E6B07B8"/>
    <w:rsid w:val="2EB371A2"/>
    <w:rsid w:val="2EC8784D"/>
    <w:rsid w:val="2EF80DE5"/>
    <w:rsid w:val="2EFB2AF0"/>
    <w:rsid w:val="2F012B4F"/>
    <w:rsid w:val="2F2676CB"/>
    <w:rsid w:val="2F527562"/>
    <w:rsid w:val="2F835A02"/>
    <w:rsid w:val="2FAB545C"/>
    <w:rsid w:val="2FD82F0E"/>
    <w:rsid w:val="2FEC2AAD"/>
    <w:rsid w:val="2FFF3C4C"/>
    <w:rsid w:val="30406FD1"/>
    <w:rsid w:val="30774293"/>
    <w:rsid w:val="30BB3500"/>
    <w:rsid w:val="31052CAB"/>
    <w:rsid w:val="31232CF3"/>
    <w:rsid w:val="315063BD"/>
    <w:rsid w:val="315452FE"/>
    <w:rsid w:val="315F16D9"/>
    <w:rsid w:val="317C35BE"/>
    <w:rsid w:val="319201BE"/>
    <w:rsid w:val="31E10EC0"/>
    <w:rsid w:val="32060C09"/>
    <w:rsid w:val="3247650A"/>
    <w:rsid w:val="32BD2B5B"/>
    <w:rsid w:val="32C41357"/>
    <w:rsid w:val="32E95D13"/>
    <w:rsid w:val="32FE3FB2"/>
    <w:rsid w:val="332D0D86"/>
    <w:rsid w:val="334B2535"/>
    <w:rsid w:val="334B4AB3"/>
    <w:rsid w:val="336071C5"/>
    <w:rsid w:val="3373305A"/>
    <w:rsid w:val="338108EC"/>
    <w:rsid w:val="33903029"/>
    <w:rsid w:val="339D6ABC"/>
    <w:rsid w:val="33A42E3F"/>
    <w:rsid w:val="33F93952"/>
    <w:rsid w:val="346B142D"/>
    <w:rsid w:val="34866A39"/>
    <w:rsid w:val="34BF6107"/>
    <w:rsid w:val="34CD21CF"/>
    <w:rsid w:val="34DD7448"/>
    <w:rsid w:val="3515582A"/>
    <w:rsid w:val="35515208"/>
    <w:rsid w:val="3553657B"/>
    <w:rsid w:val="355801CD"/>
    <w:rsid w:val="358B4509"/>
    <w:rsid w:val="359F7506"/>
    <w:rsid w:val="35A73A20"/>
    <w:rsid w:val="35B361A6"/>
    <w:rsid w:val="35B93933"/>
    <w:rsid w:val="35C908F0"/>
    <w:rsid w:val="35D344DD"/>
    <w:rsid w:val="35FA439C"/>
    <w:rsid w:val="35FF6E19"/>
    <w:rsid w:val="36075FA0"/>
    <w:rsid w:val="36105952"/>
    <w:rsid w:val="36587784"/>
    <w:rsid w:val="365C313C"/>
    <w:rsid w:val="36B12866"/>
    <w:rsid w:val="36C727EB"/>
    <w:rsid w:val="36CB3A8F"/>
    <w:rsid w:val="36E80182"/>
    <w:rsid w:val="37311601"/>
    <w:rsid w:val="3736353A"/>
    <w:rsid w:val="375C6D13"/>
    <w:rsid w:val="376D09FB"/>
    <w:rsid w:val="379231B9"/>
    <w:rsid w:val="37A63889"/>
    <w:rsid w:val="37AE13ED"/>
    <w:rsid w:val="37E706C5"/>
    <w:rsid w:val="380534F8"/>
    <w:rsid w:val="38550959"/>
    <w:rsid w:val="38F94AD2"/>
    <w:rsid w:val="39504414"/>
    <w:rsid w:val="398B0D75"/>
    <w:rsid w:val="39D620EE"/>
    <w:rsid w:val="3A686A7E"/>
    <w:rsid w:val="3AC86996"/>
    <w:rsid w:val="3B2D5F23"/>
    <w:rsid w:val="3B7F4A58"/>
    <w:rsid w:val="3BB665C0"/>
    <w:rsid w:val="3BF579BE"/>
    <w:rsid w:val="3C170977"/>
    <w:rsid w:val="3C4614EB"/>
    <w:rsid w:val="3C69372C"/>
    <w:rsid w:val="3C7D12E8"/>
    <w:rsid w:val="3CD44E70"/>
    <w:rsid w:val="3CF823AB"/>
    <w:rsid w:val="3D1847CA"/>
    <w:rsid w:val="3DCB426D"/>
    <w:rsid w:val="3EB47105"/>
    <w:rsid w:val="3EE811C2"/>
    <w:rsid w:val="3EFB4677"/>
    <w:rsid w:val="3F51536E"/>
    <w:rsid w:val="3F661A90"/>
    <w:rsid w:val="3F9E7896"/>
    <w:rsid w:val="3FD9276F"/>
    <w:rsid w:val="3FF7559A"/>
    <w:rsid w:val="400E4CA8"/>
    <w:rsid w:val="40377F5B"/>
    <w:rsid w:val="403F4FF6"/>
    <w:rsid w:val="40595BA0"/>
    <w:rsid w:val="405D64BF"/>
    <w:rsid w:val="409B660A"/>
    <w:rsid w:val="40BF3346"/>
    <w:rsid w:val="40D12367"/>
    <w:rsid w:val="41035C63"/>
    <w:rsid w:val="419231EE"/>
    <w:rsid w:val="41A55BC2"/>
    <w:rsid w:val="41CD7C80"/>
    <w:rsid w:val="41ED1C45"/>
    <w:rsid w:val="41FB0B50"/>
    <w:rsid w:val="42117470"/>
    <w:rsid w:val="42184DFE"/>
    <w:rsid w:val="42CF2B53"/>
    <w:rsid w:val="433F5964"/>
    <w:rsid w:val="435C7E52"/>
    <w:rsid w:val="440D1652"/>
    <w:rsid w:val="441B10E6"/>
    <w:rsid w:val="44B567CA"/>
    <w:rsid w:val="456033DF"/>
    <w:rsid w:val="45C82CE2"/>
    <w:rsid w:val="45F261D2"/>
    <w:rsid w:val="46264839"/>
    <w:rsid w:val="4629049A"/>
    <w:rsid w:val="46302433"/>
    <w:rsid w:val="465215A1"/>
    <w:rsid w:val="4670321D"/>
    <w:rsid w:val="46A17F87"/>
    <w:rsid w:val="46B4048E"/>
    <w:rsid w:val="46B94916"/>
    <w:rsid w:val="46C30AA8"/>
    <w:rsid w:val="471D18E0"/>
    <w:rsid w:val="47315859"/>
    <w:rsid w:val="47A60015"/>
    <w:rsid w:val="480745B8"/>
    <w:rsid w:val="484A4A5F"/>
    <w:rsid w:val="484A762B"/>
    <w:rsid w:val="486D3062"/>
    <w:rsid w:val="487B7DFA"/>
    <w:rsid w:val="48B91E5D"/>
    <w:rsid w:val="494B352F"/>
    <w:rsid w:val="494D48CF"/>
    <w:rsid w:val="495A19E6"/>
    <w:rsid w:val="49722332"/>
    <w:rsid w:val="498153A5"/>
    <w:rsid w:val="49A225D5"/>
    <w:rsid w:val="49AE39C0"/>
    <w:rsid w:val="49B24CD9"/>
    <w:rsid w:val="49FD6C71"/>
    <w:rsid w:val="4A503DA0"/>
    <w:rsid w:val="4A8F02C7"/>
    <w:rsid w:val="4AB97976"/>
    <w:rsid w:val="4ABE46D3"/>
    <w:rsid w:val="4AD621D7"/>
    <w:rsid w:val="4AE72472"/>
    <w:rsid w:val="4B095EA9"/>
    <w:rsid w:val="4B157191"/>
    <w:rsid w:val="4B4B13BA"/>
    <w:rsid w:val="4B711925"/>
    <w:rsid w:val="4B7F33AD"/>
    <w:rsid w:val="4BBF3505"/>
    <w:rsid w:val="4BC9670A"/>
    <w:rsid w:val="4BFD41B8"/>
    <w:rsid w:val="4C4A7B3B"/>
    <w:rsid w:val="4C675DE6"/>
    <w:rsid w:val="4D1662CA"/>
    <w:rsid w:val="4D1F7833"/>
    <w:rsid w:val="4D226519"/>
    <w:rsid w:val="4D6A2190"/>
    <w:rsid w:val="4D937AD1"/>
    <w:rsid w:val="4DAE1980"/>
    <w:rsid w:val="4DD66164"/>
    <w:rsid w:val="4DFD45B3"/>
    <w:rsid w:val="4E19102F"/>
    <w:rsid w:val="4E2C4828"/>
    <w:rsid w:val="4E566916"/>
    <w:rsid w:val="4E7848CC"/>
    <w:rsid w:val="4EAD7325"/>
    <w:rsid w:val="4EB93137"/>
    <w:rsid w:val="4EE12C28"/>
    <w:rsid w:val="4F0C733E"/>
    <w:rsid w:val="4F23494D"/>
    <w:rsid w:val="4F3D6A72"/>
    <w:rsid w:val="4F416513"/>
    <w:rsid w:val="4F722566"/>
    <w:rsid w:val="4FCE4FAA"/>
    <w:rsid w:val="50307219"/>
    <w:rsid w:val="505D3275"/>
    <w:rsid w:val="506B5F4E"/>
    <w:rsid w:val="50AB15EE"/>
    <w:rsid w:val="50B22EF2"/>
    <w:rsid w:val="50E36F44"/>
    <w:rsid w:val="511C1546"/>
    <w:rsid w:val="5139664E"/>
    <w:rsid w:val="51455CE4"/>
    <w:rsid w:val="51B30516"/>
    <w:rsid w:val="51B620D3"/>
    <w:rsid w:val="51D13349"/>
    <w:rsid w:val="5203159A"/>
    <w:rsid w:val="5210047C"/>
    <w:rsid w:val="524D7D37"/>
    <w:rsid w:val="52532422"/>
    <w:rsid w:val="526B7CC5"/>
    <w:rsid w:val="526D0FC9"/>
    <w:rsid w:val="528817F3"/>
    <w:rsid w:val="528A4CF6"/>
    <w:rsid w:val="52CD22E8"/>
    <w:rsid w:val="52F158BE"/>
    <w:rsid w:val="52F30EA2"/>
    <w:rsid w:val="534C4DB4"/>
    <w:rsid w:val="538C5F06"/>
    <w:rsid w:val="53C04D73"/>
    <w:rsid w:val="53F058C2"/>
    <w:rsid w:val="53F41D5B"/>
    <w:rsid w:val="53FB16D5"/>
    <w:rsid w:val="541B404C"/>
    <w:rsid w:val="541F12EC"/>
    <w:rsid w:val="544D1B39"/>
    <w:rsid w:val="54606E7B"/>
    <w:rsid w:val="54653303"/>
    <w:rsid w:val="548825BE"/>
    <w:rsid w:val="54BB5BE7"/>
    <w:rsid w:val="54BD3CE0"/>
    <w:rsid w:val="54DD7B6A"/>
    <w:rsid w:val="55147C23"/>
    <w:rsid w:val="5552550A"/>
    <w:rsid w:val="556F7038"/>
    <w:rsid w:val="557B2E4B"/>
    <w:rsid w:val="55B26536"/>
    <w:rsid w:val="55DA66E7"/>
    <w:rsid w:val="55FD59A2"/>
    <w:rsid w:val="56301675"/>
    <w:rsid w:val="567F4C77"/>
    <w:rsid w:val="578C2F8C"/>
    <w:rsid w:val="581026A8"/>
    <w:rsid w:val="581202D3"/>
    <w:rsid w:val="58DF7E97"/>
    <w:rsid w:val="58F00D27"/>
    <w:rsid w:val="591607DA"/>
    <w:rsid w:val="59356845"/>
    <w:rsid w:val="595827BF"/>
    <w:rsid w:val="59A8293C"/>
    <w:rsid w:val="59B15A33"/>
    <w:rsid w:val="59D070ED"/>
    <w:rsid w:val="5A0061B7"/>
    <w:rsid w:val="5A2377A6"/>
    <w:rsid w:val="5A4056A2"/>
    <w:rsid w:val="5AA708CA"/>
    <w:rsid w:val="5AAF3758"/>
    <w:rsid w:val="5AB07218"/>
    <w:rsid w:val="5AB752E1"/>
    <w:rsid w:val="5AC13672"/>
    <w:rsid w:val="5B253396"/>
    <w:rsid w:val="5B474BD0"/>
    <w:rsid w:val="5B723495"/>
    <w:rsid w:val="5B8F2A37"/>
    <w:rsid w:val="5B925F49"/>
    <w:rsid w:val="5BA46B7F"/>
    <w:rsid w:val="5BB36B1D"/>
    <w:rsid w:val="5BBD2610"/>
    <w:rsid w:val="5BBF64C9"/>
    <w:rsid w:val="5BF96BF2"/>
    <w:rsid w:val="5C08720C"/>
    <w:rsid w:val="5C1B4BA8"/>
    <w:rsid w:val="5C395D8A"/>
    <w:rsid w:val="5C553A88"/>
    <w:rsid w:val="5C720E3A"/>
    <w:rsid w:val="5C907367"/>
    <w:rsid w:val="5C95197E"/>
    <w:rsid w:val="5C9522F3"/>
    <w:rsid w:val="5CBB7348"/>
    <w:rsid w:val="5CFD0A1E"/>
    <w:rsid w:val="5D121B72"/>
    <w:rsid w:val="5D6F32DB"/>
    <w:rsid w:val="5DA96925"/>
    <w:rsid w:val="5DB03818"/>
    <w:rsid w:val="5DD87487"/>
    <w:rsid w:val="5DE97722"/>
    <w:rsid w:val="5E2F4613"/>
    <w:rsid w:val="5EE26B7E"/>
    <w:rsid w:val="5EF445D0"/>
    <w:rsid w:val="5F3054BA"/>
    <w:rsid w:val="5F573207"/>
    <w:rsid w:val="5F682BD3"/>
    <w:rsid w:val="5F890C0F"/>
    <w:rsid w:val="5FA77772"/>
    <w:rsid w:val="5FE11A5B"/>
    <w:rsid w:val="603B74F8"/>
    <w:rsid w:val="60BD6086"/>
    <w:rsid w:val="60E03B7C"/>
    <w:rsid w:val="60E662ED"/>
    <w:rsid w:val="60FA53D4"/>
    <w:rsid w:val="61082B42"/>
    <w:rsid w:val="615D4C39"/>
    <w:rsid w:val="61645410"/>
    <w:rsid w:val="61820387"/>
    <w:rsid w:val="619E7143"/>
    <w:rsid w:val="61A412A8"/>
    <w:rsid w:val="61C340DA"/>
    <w:rsid w:val="61C74E6E"/>
    <w:rsid w:val="61D64BE1"/>
    <w:rsid w:val="61DB091C"/>
    <w:rsid w:val="62375ADB"/>
    <w:rsid w:val="624D6B21"/>
    <w:rsid w:val="625217F8"/>
    <w:rsid w:val="62AF0F0D"/>
    <w:rsid w:val="62E377A4"/>
    <w:rsid w:val="630732A9"/>
    <w:rsid w:val="63080089"/>
    <w:rsid w:val="6317701F"/>
    <w:rsid w:val="634929BB"/>
    <w:rsid w:val="6361131A"/>
    <w:rsid w:val="636C3949"/>
    <w:rsid w:val="638E01A3"/>
    <w:rsid w:val="640B49E8"/>
    <w:rsid w:val="64152EF1"/>
    <w:rsid w:val="64260846"/>
    <w:rsid w:val="643E22D7"/>
    <w:rsid w:val="646D417B"/>
    <w:rsid w:val="6491688B"/>
    <w:rsid w:val="64B557C6"/>
    <w:rsid w:val="64BC5683"/>
    <w:rsid w:val="64C56F82"/>
    <w:rsid w:val="64E229EB"/>
    <w:rsid w:val="651153FC"/>
    <w:rsid w:val="651548E6"/>
    <w:rsid w:val="652D670A"/>
    <w:rsid w:val="65911855"/>
    <w:rsid w:val="659351B4"/>
    <w:rsid w:val="65964878"/>
    <w:rsid w:val="65A93AD5"/>
    <w:rsid w:val="65B10A4C"/>
    <w:rsid w:val="65BF14FC"/>
    <w:rsid w:val="65CE3120"/>
    <w:rsid w:val="66100001"/>
    <w:rsid w:val="665A641C"/>
    <w:rsid w:val="66635D8E"/>
    <w:rsid w:val="66BB3678"/>
    <w:rsid w:val="671F493B"/>
    <w:rsid w:val="67483853"/>
    <w:rsid w:val="67C4094C"/>
    <w:rsid w:val="67CF2561"/>
    <w:rsid w:val="67E67A0B"/>
    <w:rsid w:val="68382E89"/>
    <w:rsid w:val="6861624C"/>
    <w:rsid w:val="686471D1"/>
    <w:rsid w:val="6868145A"/>
    <w:rsid w:val="689252E2"/>
    <w:rsid w:val="68C84CF7"/>
    <w:rsid w:val="68D9397B"/>
    <w:rsid w:val="68EB61B0"/>
    <w:rsid w:val="6925180D"/>
    <w:rsid w:val="694D432C"/>
    <w:rsid w:val="69B555BB"/>
    <w:rsid w:val="69B82081"/>
    <w:rsid w:val="69D751C3"/>
    <w:rsid w:val="69E50BD6"/>
    <w:rsid w:val="69F17C5C"/>
    <w:rsid w:val="69FE624D"/>
    <w:rsid w:val="6A02377A"/>
    <w:rsid w:val="6A401060"/>
    <w:rsid w:val="6A572E84"/>
    <w:rsid w:val="6A8E1EE8"/>
    <w:rsid w:val="6A9929F4"/>
    <w:rsid w:val="6A9F107A"/>
    <w:rsid w:val="6AAF1314"/>
    <w:rsid w:val="6AE139E9"/>
    <w:rsid w:val="6B181A54"/>
    <w:rsid w:val="6B1F06CE"/>
    <w:rsid w:val="6B223851"/>
    <w:rsid w:val="6B5159A7"/>
    <w:rsid w:val="6B9D63D4"/>
    <w:rsid w:val="6BA21BA1"/>
    <w:rsid w:val="6C2830FF"/>
    <w:rsid w:val="6C333193"/>
    <w:rsid w:val="6C5C3CA4"/>
    <w:rsid w:val="6CD21613"/>
    <w:rsid w:val="6D216B9A"/>
    <w:rsid w:val="6D4F3D4C"/>
    <w:rsid w:val="6D935BD4"/>
    <w:rsid w:val="6D9B568E"/>
    <w:rsid w:val="6DAE4200"/>
    <w:rsid w:val="6E0E0133"/>
    <w:rsid w:val="6E1938AF"/>
    <w:rsid w:val="6E2F61FA"/>
    <w:rsid w:val="6E44715E"/>
    <w:rsid w:val="6E700F51"/>
    <w:rsid w:val="6E923CE9"/>
    <w:rsid w:val="6EB45CAC"/>
    <w:rsid w:val="6F4C69AD"/>
    <w:rsid w:val="6F6F1C62"/>
    <w:rsid w:val="6FC62D9A"/>
    <w:rsid w:val="6FD8201A"/>
    <w:rsid w:val="704706D5"/>
    <w:rsid w:val="70524453"/>
    <w:rsid w:val="70926FBF"/>
    <w:rsid w:val="70A55D29"/>
    <w:rsid w:val="70C14D09"/>
    <w:rsid w:val="70DC0B34"/>
    <w:rsid w:val="70EB6BD0"/>
    <w:rsid w:val="710E51B2"/>
    <w:rsid w:val="714D5970"/>
    <w:rsid w:val="71637B14"/>
    <w:rsid w:val="71D31EBE"/>
    <w:rsid w:val="72033FBF"/>
    <w:rsid w:val="722630D5"/>
    <w:rsid w:val="722F17E6"/>
    <w:rsid w:val="72623A95"/>
    <w:rsid w:val="72B92643"/>
    <w:rsid w:val="72EC6AF4"/>
    <w:rsid w:val="73277DA9"/>
    <w:rsid w:val="737161AC"/>
    <w:rsid w:val="73B068E0"/>
    <w:rsid w:val="73B50E3C"/>
    <w:rsid w:val="73D9417E"/>
    <w:rsid w:val="740622E5"/>
    <w:rsid w:val="744A5358"/>
    <w:rsid w:val="7457420E"/>
    <w:rsid w:val="747F76B9"/>
    <w:rsid w:val="75776CC4"/>
    <w:rsid w:val="75982A7C"/>
    <w:rsid w:val="75BE4EBA"/>
    <w:rsid w:val="75E727FB"/>
    <w:rsid w:val="75F45394"/>
    <w:rsid w:val="7603212B"/>
    <w:rsid w:val="76261761"/>
    <w:rsid w:val="7648159B"/>
    <w:rsid w:val="764D2B72"/>
    <w:rsid w:val="767903E0"/>
    <w:rsid w:val="76804F78"/>
    <w:rsid w:val="76851400"/>
    <w:rsid w:val="76C738C9"/>
    <w:rsid w:val="76EC0172"/>
    <w:rsid w:val="774C7F36"/>
    <w:rsid w:val="774D0E49"/>
    <w:rsid w:val="77AE3C14"/>
    <w:rsid w:val="78056494"/>
    <w:rsid w:val="781E371F"/>
    <w:rsid w:val="783B3603"/>
    <w:rsid w:val="78484564"/>
    <w:rsid w:val="78574B7E"/>
    <w:rsid w:val="78CE4A6E"/>
    <w:rsid w:val="78F3550D"/>
    <w:rsid w:val="78F73403"/>
    <w:rsid w:val="791529B3"/>
    <w:rsid w:val="79265C6B"/>
    <w:rsid w:val="793F5645"/>
    <w:rsid w:val="795B6ABE"/>
    <w:rsid w:val="79822FE7"/>
    <w:rsid w:val="79936B04"/>
    <w:rsid w:val="7A1213DD"/>
    <w:rsid w:val="7A2405F1"/>
    <w:rsid w:val="7A4D5F33"/>
    <w:rsid w:val="7A5043A3"/>
    <w:rsid w:val="7A936F42"/>
    <w:rsid w:val="7AAE4CD2"/>
    <w:rsid w:val="7ADB231E"/>
    <w:rsid w:val="7AE560B4"/>
    <w:rsid w:val="7AF6674C"/>
    <w:rsid w:val="7B2A209D"/>
    <w:rsid w:val="7B695405"/>
    <w:rsid w:val="7BF817F1"/>
    <w:rsid w:val="7C306534"/>
    <w:rsid w:val="7C365DE1"/>
    <w:rsid w:val="7C5C1516"/>
    <w:rsid w:val="7CC43021"/>
    <w:rsid w:val="7D1608F8"/>
    <w:rsid w:val="7D59045C"/>
    <w:rsid w:val="7D7D2B38"/>
    <w:rsid w:val="7D99569A"/>
    <w:rsid w:val="7DBF115D"/>
    <w:rsid w:val="7DE30098"/>
    <w:rsid w:val="7E3A3ACB"/>
    <w:rsid w:val="7E4435B5"/>
    <w:rsid w:val="7E672870"/>
    <w:rsid w:val="7E8A1B2B"/>
    <w:rsid w:val="7E9F78D0"/>
    <w:rsid w:val="7EAC5562"/>
    <w:rsid w:val="7EAF2C64"/>
    <w:rsid w:val="7EDD04DE"/>
    <w:rsid w:val="7F1D37DF"/>
    <w:rsid w:val="7F2D5F40"/>
    <w:rsid w:val="7F2E4837"/>
    <w:rsid w:val="7F307D3A"/>
    <w:rsid w:val="7F362269"/>
    <w:rsid w:val="7F6F0306"/>
    <w:rsid w:val="7FBE66A4"/>
    <w:rsid w:val="7FC81E1E"/>
    <w:rsid w:val="7FDD7E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1"/>
    <w:qFormat/>
    <w:uiPriority w:val="0"/>
    <w:pPr>
      <w:numPr>
        <w:ilvl w:val="0"/>
        <w:numId w:val="1"/>
      </w:numPr>
      <w:autoSpaceDE w:val="0"/>
      <w:autoSpaceDN w:val="0"/>
      <w:adjustRightInd w:val="0"/>
      <w:snapToGrid w:val="0"/>
      <w:spacing w:line="360" w:lineRule="auto"/>
      <w:jc w:val="center"/>
      <w:outlineLvl w:val="0"/>
    </w:pPr>
    <w:rPr>
      <w:rFonts w:eastAsia="黑体"/>
      <w:sz w:val="44"/>
      <w:szCs w:val="44"/>
    </w:rPr>
  </w:style>
  <w:style w:type="paragraph" w:styleId="4">
    <w:name w:val="heading 2"/>
    <w:basedOn w:val="1"/>
    <w:next w:val="1"/>
    <w:link w:val="191"/>
    <w:qFormat/>
    <w:uiPriority w:val="0"/>
    <w:pPr>
      <w:autoSpaceDE w:val="0"/>
      <w:autoSpaceDN w:val="0"/>
      <w:adjustRightInd w:val="0"/>
      <w:snapToGrid w:val="0"/>
      <w:spacing w:line="360" w:lineRule="auto"/>
      <w:jc w:val="left"/>
      <w:outlineLvl w:val="1"/>
    </w:pPr>
    <w:rPr>
      <w:rFonts w:ascii="仿宋_GB2312" w:eastAsia="仿宋_GB2312" w:cs="MingLiU"/>
      <w:b/>
      <w:spacing w:val="1"/>
      <w:w w:val="99"/>
      <w:kern w:val="0"/>
      <w:sz w:val="28"/>
      <w:szCs w:val="32"/>
    </w:rPr>
  </w:style>
  <w:style w:type="paragraph" w:styleId="5">
    <w:name w:val="heading 3"/>
    <w:basedOn w:val="1"/>
    <w:next w:val="1"/>
    <w:link w:val="73"/>
    <w:qFormat/>
    <w:uiPriority w:val="0"/>
    <w:pPr>
      <w:autoSpaceDE w:val="0"/>
      <w:autoSpaceDN w:val="0"/>
      <w:adjustRightInd w:val="0"/>
      <w:spacing w:before="16"/>
      <w:jc w:val="left"/>
      <w:outlineLvl w:val="2"/>
    </w:pPr>
    <w:rPr>
      <w:rFonts w:ascii="仿宋_GB2312" w:eastAsia="仿宋_GB2312" w:cs="MingLiU"/>
      <w:b/>
      <w:kern w:val="0"/>
      <w:sz w:val="24"/>
      <w:szCs w:val="28"/>
    </w:rPr>
  </w:style>
  <w:style w:type="paragraph" w:styleId="6">
    <w:name w:val="heading 4"/>
    <w:basedOn w:val="1"/>
    <w:next w:val="1"/>
    <w:link w:val="74"/>
    <w:qFormat/>
    <w:uiPriority w:val="0"/>
    <w:pPr>
      <w:jc w:val="center"/>
      <w:outlineLvl w:val="3"/>
    </w:pPr>
    <w:rPr>
      <w:rFonts w:ascii="仿宋_GB2312" w:eastAsia="仿宋_GB2312" w:cs="MingLiU"/>
      <w:b/>
      <w:kern w:val="0"/>
      <w:sz w:val="24"/>
      <w:szCs w:val="28"/>
    </w:rPr>
  </w:style>
  <w:style w:type="paragraph" w:styleId="7">
    <w:name w:val="heading 5"/>
    <w:basedOn w:val="1"/>
    <w:next w:val="1"/>
    <w:link w:val="75"/>
    <w:qFormat/>
    <w:uiPriority w:val="0"/>
    <w:pPr>
      <w:keepNext/>
      <w:keepLines/>
      <w:spacing w:before="280" w:after="290" w:line="374" w:lineRule="auto"/>
      <w:outlineLvl w:val="4"/>
    </w:pPr>
    <w:rPr>
      <w:b/>
      <w:bCs/>
      <w:kern w:val="0"/>
      <w:sz w:val="28"/>
      <w:szCs w:val="28"/>
    </w:rPr>
  </w:style>
  <w:style w:type="paragraph" w:styleId="8">
    <w:name w:val="heading 6"/>
    <w:basedOn w:val="1"/>
    <w:next w:val="1"/>
    <w:link w:val="76"/>
    <w:qFormat/>
    <w:uiPriority w:val="0"/>
    <w:pPr>
      <w:keepNext/>
      <w:keepLines/>
      <w:spacing w:before="240" w:after="64" w:line="319" w:lineRule="auto"/>
      <w:outlineLvl w:val="5"/>
    </w:pPr>
    <w:rPr>
      <w:rFonts w:ascii="Arial" w:hAnsi="Arial" w:eastAsia="黑体"/>
      <w:b/>
      <w:bCs/>
      <w:kern w:val="0"/>
      <w:sz w:val="24"/>
    </w:rPr>
  </w:style>
  <w:style w:type="paragraph" w:styleId="9">
    <w:name w:val="heading 7"/>
    <w:basedOn w:val="1"/>
    <w:next w:val="1"/>
    <w:link w:val="77"/>
    <w:qFormat/>
    <w:uiPriority w:val="0"/>
    <w:pPr>
      <w:keepNext/>
      <w:keepLines/>
      <w:spacing w:before="240" w:after="64" w:line="319" w:lineRule="auto"/>
      <w:outlineLvl w:val="6"/>
    </w:pPr>
    <w:rPr>
      <w:b/>
      <w:bCs/>
      <w:kern w:val="0"/>
      <w:sz w:val="24"/>
    </w:rPr>
  </w:style>
  <w:style w:type="paragraph" w:styleId="10">
    <w:name w:val="heading 8"/>
    <w:basedOn w:val="1"/>
    <w:next w:val="1"/>
    <w:link w:val="78"/>
    <w:qFormat/>
    <w:uiPriority w:val="0"/>
    <w:pPr>
      <w:keepNext/>
      <w:keepLines/>
      <w:spacing w:before="240" w:after="64" w:line="319" w:lineRule="auto"/>
      <w:outlineLvl w:val="7"/>
    </w:pPr>
    <w:rPr>
      <w:rFonts w:ascii="Arial" w:hAnsi="Arial" w:eastAsia="黑体"/>
      <w:kern w:val="0"/>
      <w:sz w:val="24"/>
    </w:rPr>
  </w:style>
  <w:style w:type="paragraph" w:styleId="11">
    <w:name w:val="heading 9"/>
    <w:basedOn w:val="1"/>
    <w:next w:val="1"/>
    <w:link w:val="79"/>
    <w:qFormat/>
    <w:uiPriority w:val="0"/>
    <w:pPr>
      <w:keepNext/>
      <w:keepLines/>
      <w:spacing w:before="240" w:after="64" w:line="319" w:lineRule="auto"/>
      <w:outlineLvl w:val="8"/>
    </w:pPr>
    <w:rPr>
      <w:rFonts w:ascii="Arial" w:hAnsi="Arial" w:eastAsia="黑体"/>
      <w:kern w:val="0"/>
      <w:sz w:val="20"/>
      <w:szCs w:val="21"/>
    </w:rPr>
  </w:style>
  <w:style w:type="character" w:default="1" w:styleId="56">
    <w:name w:val="Default Paragraph Font"/>
    <w:semiHidden/>
    <w:qFormat/>
    <w:uiPriority w:val="0"/>
  </w:style>
  <w:style w:type="table" w:default="1" w:styleId="5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12">
    <w:name w:val="toc 7"/>
    <w:basedOn w:val="1"/>
    <w:next w:val="1"/>
    <w:qFormat/>
    <w:uiPriority w:val="0"/>
    <w:pPr>
      <w:ind w:left="1260"/>
      <w:jc w:val="left"/>
    </w:pPr>
    <w:rPr>
      <w:rFonts w:ascii="Calibri" w:hAnsi="Calibri"/>
      <w:sz w:val="18"/>
      <w:szCs w:val="20"/>
    </w:rPr>
  </w:style>
  <w:style w:type="paragraph" w:styleId="13">
    <w:name w:val="table of authorities"/>
    <w:basedOn w:val="1"/>
    <w:next w:val="1"/>
    <w:semiHidden/>
    <w:qFormat/>
    <w:uiPriority w:val="0"/>
    <w:pPr>
      <w:ind w:left="420" w:leftChars="200"/>
    </w:pPr>
  </w:style>
  <w:style w:type="paragraph" w:styleId="14">
    <w:name w:val="List Bullet 4"/>
    <w:basedOn w:val="1"/>
    <w:qFormat/>
    <w:uiPriority w:val="0"/>
    <w:pPr>
      <w:tabs>
        <w:tab w:val="left" w:pos="1620"/>
      </w:tabs>
      <w:ind w:left="1620" w:leftChars="600" w:hanging="360" w:hangingChars="200"/>
    </w:pPr>
  </w:style>
  <w:style w:type="paragraph" w:styleId="15">
    <w:name w:val="caption"/>
    <w:basedOn w:val="1"/>
    <w:next w:val="1"/>
    <w:qFormat/>
    <w:uiPriority w:val="0"/>
    <w:rPr>
      <w:rFonts w:ascii="Cambria" w:hAnsi="Cambria" w:eastAsia="黑体"/>
      <w:sz w:val="20"/>
      <w:szCs w:val="20"/>
    </w:rPr>
  </w:style>
  <w:style w:type="paragraph" w:styleId="16">
    <w:name w:val="List Bullet"/>
    <w:basedOn w:val="1"/>
    <w:qFormat/>
    <w:uiPriority w:val="0"/>
    <w:pPr>
      <w:tabs>
        <w:tab w:val="left" w:pos="360"/>
      </w:tabs>
      <w:ind w:left="360" w:hanging="360" w:hangingChars="200"/>
    </w:pPr>
  </w:style>
  <w:style w:type="paragraph" w:styleId="17">
    <w:name w:val="Document Map"/>
    <w:basedOn w:val="1"/>
    <w:link w:val="80"/>
    <w:unhideWhenUsed/>
    <w:qFormat/>
    <w:uiPriority w:val="0"/>
    <w:rPr>
      <w:rFonts w:ascii="宋体"/>
      <w:sz w:val="18"/>
      <w:szCs w:val="18"/>
    </w:rPr>
  </w:style>
  <w:style w:type="paragraph" w:styleId="18">
    <w:name w:val="annotation text"/>
    <w:basedOn w:val="1"/>
    <w:link w:val="81"/>
    <w:qFormat/>
    <w:uiPriority w:val="0"/>
    <w:pPr>
      <w:adjustRightInd w:val="0"/>
      <w:spacing w:line="360" w:lineRule="atLeast"/>
      <w:jc w:val="left"/>
      <w:textAlignment w:val="baseline"/>
    </w:pPr>
    <w:rPr>
      <w:kern w:val="0"/>
      <w:sz w:val="24"/>
      <w:szCs w:val="20"/>
    </w:rPr>
  </w:style>
  <w:style w:type="paragraph" w:styleId="19">
    <w:name w:val="Body Text 3"/>
    <w:basedOn w:val="1"/>
    <w:link w:val="82"/>
    <w:qFormat/>
    <w:uiPriority w:val="0"/>
    <w:pPr>
      <w:spacing w:after="120"/>
    </w:pPr>
    <w:rPr>
      <w:sz w:val="16"/>
      <w:szCs w:val="16"/>
    </w:rPr>
  </w:style>
  <w:style w:type="paragraph" w:styleId="20">
    <w:name w:val="List Bullet 3"/>
    <w:basedOn w:val="1"/>
    <w:qFormat/>
    <w:uiPriority w:val="0"/>
    <w:pPr>
      <w:tabs>
        <w:tab w:val="left" w:pos="1200"/>
      </w:tabs>
      <w:ind w:left="1200" w:leftChars="400" w:hanging="360" w:hangingChars="200"/>
    </w:pPr>
  </w:style>
  <w:style w:type="paragraph" w:styleId="21">
    <w:name w:val="Body Text"/>
    <w:basedOn w:val="1"/>
    <w:next w:val="1"/>
    <w:link w:val="70"/>
    <w:qFormat/>
    <w:uiPriority w:val="0"/>
    <w:rPr>
      <w:sz w:val="26"/>
    </w:rPr>
  </w:style>
  <w:style w:type="paragraph" w:styleId="22">
    <w:name w:val="Body Text Indent"/>
    <w:basedOn w:val="1"/>
    <w:link w:val="83"/>
    <w:qFormat/>
    <w:uiPriority w:val="0"/>
    <w:pPr>
      <w:spacing w:line="360" w:lineRule="auto"/>
      <w:ind w:firstLine="560" w:firstLineChars="200"/>
    </w:pPr>
    <w:rPr>
      <w:rFonts w:ascii="黑体" w:hAnsi="宋体" w:eastAsia="黑体"/>
      <w:color w:val="000000"/>
      <w:kern w:val="0"/>
      <w:sz w:val="28"/>
      <w:szCs w:val="20"/>
    </w:rPr>
  </w:style>
  <w:style w:type="paragraph" w:styleId="23">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szCs w:val="20"/>
    </w:rPr>
  </w:style>
  <w:style w:type="paragraph" w:styleId="24">
    <w:name w:val="List Bullet 2"/>
    <w:basedOn w:val="1"/>
    <w:qFormat/>
    <w:uiPriority w:val="0"/>
    <w:pPr>
      <w:tabs>
        <w:tab w:val="left" w:pos="780"/>
      </w:tabs>
      <w:ind w:left="780" w:leftChars="200" w:hanging="360" w:hangingChars="200"/>
    </w:pPr>
  </w:style>
  <w:style w:type="paragraph" w:styleId="25">
    <w:name w:val="index 4"/>
    <w:basedOn w:val="1"/>
    <w:next w:val="1"/>
    <w:qFormat/>
    <w:uiPriority w:val="0"/>
    <w:pPr>
      <w:ind w:left="600" w:leftChars="600"/>
    </w:pPr>
  </w:style>
  <w:style w:type="paragraph" w:styleId="26">
    <w:name w:val="toc 5"/>
    <w:basedOn w:val="1"/>
    <w:next w:val="1"/>
    <w:qFormat/>
    <w:uiPriority w:val="0"/>
    <w:pPr>
      <w:ind w:left="840"/>
      <w:jc w:val="left"/>
    </w:pPr>
    <w:rPr>
      <w:rFonts w:ascii="Calibri" w:hAnsi="Calibri"/>
      <w:sz w:val="18"/>
      <w:szCs w:val="20"/>
    </w:rPr>
  </w:style>
  <w:style w:type="paragraph" w:styleId="27">
    <w:name w:val="toc 3"/>
    <w:basedOn w:val="1"/>
    <w:next w:val="1"/>
    <w:qFormat/>
    <w:uiPriority w:val="0"/>
    <w:pPr>
      <w:ind w:left="420"/>
      <w:jc w:val="left"/>
    </w:pPr>
    <w:rPr>
      <w:rFonts w:ascii="Calibri" w:hAnsi="Calibri" w:eastAsia="仿宋_GB2312"/>
      <w:iCs/>
      <w:szCs w:val="20"/>
    </w:rPr>
  </w:style>
  <w:style w:type="paragraph" w:styleId="28">
    <w:name w:val="Plain Text"/>
    <w:basedOn w:val="1"/>
    <w:link w:val="84"/>
    <w:qFormat/>
    <w:uiPriority w:val="0"/>
    <w:rPr>
      <w:rFonts w:ascii="宋体" w:hAnsi="Courier New"/>
      <w:sz w:val="28"/>
      <w:szCs w:val="28"/>
    </w:rPr>
  </w:style>
  <w:style w:type="paragraph" w:styleId="29">
    <w:name w:val="List Bullet 5"/>
    <w:basedOn w:val="1"/>
    <w:qFormat/>
    <w:uiPriority w:val="0"/>
    <w:pPr>
      <w:tabs>
        <w:tab w:val="left" w:pos="2040"/>
      </w:tabs>
      <w:ind w:left="2040" w:leftChars="800" w:hanging="360" w:hangingChars="200"/>
    </w:pPr>
  </w:style>
  <w:style w:type="paragraph" w:styleId="30">
    <w:name w:val="toc 8"/>
    <w:basedOn w:val="1"/>
    <w:next w:val="1"/>
    <w:qFormat/>
    <w:uiPriority w:val="0"/>
    <w:pPr>
      <w:ind w:left="1470"/>
      <w:jc w:val="left"/>
    </w:pPr>
    <w:rPr>
      <w:rFonts w:ascii="Calibri" w:hAnsi="Calibri"/>
      <w:sz w:val="18"/>
      <w:szCs w:val="20"/>
    </w:rPr>
  </w:style>
  <w:style w:type="paragraph" w:styleId="31">
    <w:name w:val="Date"/>
    <w:basedOn w:val="1"/>
    <w:next w:val="1"/>
    <w:link w:val="85"/>
    <w:qFormat/>
    <w:uiPriority w:val="0"/>
    <w:pPr>
      <w:ind w:left="100" w:leftChars="2500"/>
    </w:pPr>
  </w:style>
  <w:style w:type="paragraph" w:styleId="32">
    <w:name w:val="Body Text Indent 2"/>
    <w:basedOn w:val="1"/>
    <w:link w:val="86"/>
    <w:qFormat/>
    <w:uiPriority w:val="0"/>
    <w:pPr>
      <w:ind w:left="1005" w:hanging="1005"/>
    </w:pPr>
    <w:rPr>
      <w:rFonts w:eastAsia="仿宋_GB2312"/>
      <w:sz w:val="32"/>
      <w:szCs w:val="20"/>
    </w:rPr>
  </w:style>
  <w:style w:type="paragraph" w:styleId="33">
    <w:name w:val="endnote text"/>
    <w:basedOn w:val="1"/>
    <w:link w:val="87"/>
    <w:qFormat/>
    <w:uiPriority w:val="0"/>
    <w:pPr>
      <w:widowControl/>
      <w:snapToGrid w:val="0"/>
      <w:jc w:val="left"/>
    </w:pPr>
    <w:rPr>
      <w:rFonts w:ascii="Arial" w:hAnsi="Arial"/>
      <w:kern w:val="0"/>
      <w:sz w:val="20"/>
      <w:lang w:eastAsia="en-US"/>
    </w:rPr>
  </w:style>
  <w:style w:type="paragraph" w:styleId="34">
    <w:name w:val="Balloon Text"/>
    <w:basedOn w:val="1"/>
    <w:link w:val="88"/>
    <w:qFormat/>
    <w:uiPriority w:val="0"/>
    <w:rPr>
      <w:sz w:val="18"/>
      <w:szCs w:val="18"/>
    </w:rPr>
  </w:style>
  <w:style w:type="paragraph" w:styleId="35">
    <w:name w:val="footer"/>
    <w:basedOn w:val="1"/>
    <w:link w:val="89"/>
    <w:qFormat/>
    <w:uiPriority w:val="99"/>
    <w:pPr>
      <w:tabs>
        <w:tab w:val="center" w:pos="4153"/>
        <w:tab w:val="right" w:pos="8306"/>
      </w:tabs>
      <w:snapToGrid w:val="0"/>
      <w:jc w:val="left"/>
    </w:pPr>
    <w:rPr>
      <w:sz w:val="18"/>
      <w:szCs w:val="18"/>
    </w:rPr>
  </w:style>
  <w:style w:type="paragraph" w:styleId="36">
    <w:name w:val="header"/>
    <w:basedOn w:val="1"/>
    <w:link w:val="90"/>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0"/>
    <w:pPr>
      <w:spacing w:before="120" w:after="120"/>
      <w:jc w:val="left"/>
    </w:pPr>
    <w:rPr>
      <w:rFonts w:ascii="Calibri" w:hAnsi="Calibri" w:eastAsia="仿宋_GB2312"/>
      <w:b/>
      <w:bCs/>
      <w:caps/>
      <w:sz w:val="28"/>
      <w:szCs w:val="20"/>
    </w:rPr>
  </w:style>
  <w:style w:type="paragraph" w:styleId="38">
    <w:name w:val="toc 4"/>
    <w:basedOn w:val="1"/>
    <w:next w:val="1"/>
    <w:qFormat/>
    <w:uiPriority w:val="0"/>
    <w:pPr>
      <w:ind w:left="630"/>
      <w:jc w:val="left"/>
    </w:pPr>
    <w:rPr>
      <w:rFonts w:ascii="Calibri" w:hAnsi="Calibri"/>
      <w:sz w:val="18"/>
      <w:szCs w:val="20"/>
    </w:rPr>
  </w:style>
  <w:style w:type="paragraph" w:styleId="39">
    <w:name w:val="Subtitle"/>
    <w:basedOn w:val="1"/>
    <w:link w:val="91"/>
    <w:qFormat/>
    <w:uiPriority w:val="0"/>
    <w:pPr>
      <w:widowControl/>
      <w:jc w:val="center"/>
    </w:pPr>
    <w:rPr>
      <w:kern w:val="0"/>
      <w:sz w:val="20"/>
      <w:u w:val="single"/>
      <w:lang w:eastAsia="en-US"/>
    </w:rPr>
  </w:style>
  <w:style w:type="paragraph" w:styleId="40">
    <w:name w:val="footnote text"/>
    <w:basedOn w:val="1"/>
    <w:link w:val="92"/>
    <w:qFormat/>
    <w:uiPriority w:val="0"/>
    <w:pPr>
      <w:snapToGrid w:val="0"/>
      <w:jc w:val="left"/>
    </w:pPr>
    <w:rPr>
      <w:sz w:val="18"/>
      <w:szCs w:val="18"/>
    </w:rPr>
  </w:style>
  <w:style w:type="paragraph" w:styleId="41">
    <w:name w:val="toc 6"/>
    <w:basedOn w:val="1"/>
    <w:next w:val="1"/>
    <w:qFormat/>
    <w:uiPriority w:val="0"/>
    <w:pPr>
      <w:ind w:left="1050"/>
      <w:jc w:val="left"/>
    </w:pPr>
    <w:rPr>
      <w:rFonts w:ascii="Calibri" w:hAnsi="Calibri"/>
      <w:sz w:val="18"/>
      <w:szCs w:val="20"/>
    </w:rPr>
  </w:style>
  <w:style w:type="paragraph" w:styleId="42">
    <w:name w:val="Body Text Indent 3"/>
    <w:basedOn w:val="1"/>
    <w:link w:val="93"/>
    <w:qFormat/>
    <w:uiPriority w:val="0"/>
    <w:pPr>
      <w:spacing w:after="120"/>
      <w:ind w:left="420" w:leftChars="200"/>
    </w:pPr>
    <w:rPr>
      <w:kern w:val="0"/>
      <w:sz w:val="16"/>
      <w:szCs w:val="20"/>
    </w:rPr>
  </w:style>
  <w:style w:type="paragraph" w:styleId="43">
    <w:name w:val="toc 2"/>
    <w:basedOn w:val="1"/>
    <w:next w:val="1"/>
    <w:qFormat/>
    <w:uiPriority w:val="0"/>
    <w:pPr>
      <w:tabs>
        <w:tab w:val="right" w:leader="dot" w:pos="8609"/>
      </w:tabs>
      <w:spacing w:line="240" w:lineRule="atLeast"/>
      <w:ind w:left="210"/>
      <w:jc w:val="distribute"/>
    </w:pPr>
    <w:rPr>
      <w:rFonts w:ascii="宋体" w:hAnsi="宋体" w:eastAsia="宋体"/>
      <w:b/>
      <w:smallCaps/>
      <w:szCs w:val="21"/>
    </w:rPr>
  </w:style>
  <w:style w:type="paragraph" w:styleId="44">
    <w:name w:val="toc 9"/>
    <w:basedOn w:val="1"/>
    <w:next w:val="1"/>
    <w:qFormat/>
    <w:uiPriority w:val="0"/>
    <w:pPr>
      <w:ind w:left="1680"/>
      <w:jc w:val="left"/>
    </w:pPr>
    <w:rPr>
      <w:rFonts w:ascii="Calibri" w:hAnsi="Calibri"/>
      <w:sz w:val="18"/>
      <w:szCs w:val="20"/>
    </w:rPr>
  </w:style>
  <w:style w:type="paragraph" w:styleId="45">
    <w:name w:val="Body Text 2"/>
    <w:basedOn w:val="1"/>
    <w:link w:val="94"/>
    <w:qFormat/>
    <w:uiPriority w:val="0"/>
    <w:rPr>
      <w:i/>
      <w:iCs/>
      <w:sz w:val="26"/>
    </w:rPr>
  </w:style>
  <w:style w:type="paragraph" w:styleId="46">
    <w:name w:val="List Continue 2"/>
    <w:basedOn w:val="1"/>
    <w:qFormat/>
    <w:uiPriority w:val="0"/>
    <w:pPr>
      <w:spacing w:after="120"/>
      <w:ind w:left="840" w:leftChars="400"/>
    </w:pPr>
    <w:rPr>
      <w:szCs w:val="20"/>
    </w:rPr>
  </w:style>
  <w:style w:type="paragraph" w:styleId="47">
    <w:name w:val="HTML Preformatted"/>
    <w:basedOn w:val="1"/>
    <w:link w:val="9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8">
    <w:name w:val="Normal (Web)"/>
    <w:basedOn w:val="1"/>
    <w:qFormat/>
    <w:uiPriority w:val="0"/>
    <w:pPr>
      <w:widowControl/>
      <w:spacing w:before="100" w:beforeAutospacing="1" w:after="100" w:afterAutospacing="1"/>
      <w:jc w:val="left"/>
    </w:pPr>
    <w:rPr>
      <w:rFonts w:ascii="_x000B__x000C_" w:hAnsi="_x000B__x000C_"/>
      <w:kern w:val="0"/>
      <w:sz w:val="24"/>
      <w:szCs w:val="20"/>
    </w:rPr>
  </w:style>
  <w:style w:type="paragraph" w:styleId="49">
    <w:name w:val="index 1"/>
    <w:basedOn w:val="1"/>
    <w:next w:val="1"/>
    <w:qFormat/>
    <w:uiPriority w:val="0"/>
    <w:pPr>
      <w:spacing w:line="220" w:lineRule="exact"/>
      <w:jc w:val="center"/>
    </w:pPr>
    <w:rPr>
      <w:rFonts w:ascii="仿宋_GB2312" w:eastAsia="仿宋_GB2312"/>
      <w:szCs w:val="21"/>
    </w:rPr>
  </w:style>
  <w:style w:type="paragraph" w:styleId="50">
    <w:name w:val="Title"/>
    <w:basedOn w:val="1"/>
    <w:next w:val="1"/>
    <w:link w:val="96"/>
    <w:qFormat/>
    <w:uiPriority w:val="0"/>
    <w:pPr>
      <w:spacing w:before="240" w:after="60"/>
      <w:jc w:val="center"/>
      <w:outlineLvl w:val="0"/>
    </w:pPr>
    <w:rPr>
      <w:rFonts w:ascii="Arial" w:hAnsi="Arial"/>
      <w:b/>
      <w:bCs/>
      <w:sz w:val="32"/>
      <w:szCs w:val="32"/>
    </w:rPr>
  </w:style>
  <w:style w:type="paragraph" w:styleId="51">
    <w:name w:val="annotation subject"/>
    <w:basedOn w:val="18"/>
    <w:next w:val="18"/>
    <w:link w:val="97"/>
    <w:qFormat/>
    <w:uiPriority w:val="0"/>
    <w:pPr>
      <w:adjustRightInd/>
      <w:spacing w:line="240" w:lineRule="auto"/>
      <w:textAlignment w:val="auto"/>
    </w:pPr>
    <w:rPr>
      <w:b/>
      <w:bCs/>
      <w:kern w:val="2"/>
      <w:sz w:val="21"/>
      <w:szCs w:val="24"/>
    </w:rPr>
  </w:style>
  <w:style w:type="paragraph" w:styleId="52">
    <w:name w:val="Body Text First Indent"/>
    <w:basedOn w:val="21"/>
    <w:link w:val="98"/>
    <w:qFormat/>
    <w:uiPriority w:val="0"/>
    <w:pPr>
      <w:ind w:firstLine="420" w:firstLineChars="100"/>
    </w:pPr>
  </w:style>
  <w:style w:type="paragraph" w:styleId="53">
    <w:name w:val="Body Text First Indent 2"/>
    <w:basedOn w:val="22"/>
    <w:link w:val="99"/>
    <w:qFormat/>
    <w:uiPriority w:val="0"/>
    <w:pPr>
      <w:spacing w:after="120" w:line="240" w:lineRule="auto"/>
      <w:ind w:left="420" w:leftChars="200" w:firstLine="420"/>
    </w:pPr>
    <w:rPr>
      <w:sz w:val="20"/>
      <w:szCs w:val="24"/>
    </w:rPr>
  </w:style>
  <w:style w:type="table" w:styleId="55">
    <w:name w:val="Table Grid"/>
    <w:basedOn w:val="5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0"/>
    <w:rPr>
      <w:b/>
    </w:rPr>
  </w:style>
  <w:style w:type="character" w:styleId="58">
    <w:name w:val="endnote reference"/>
    <w:qFormat/>
    <w:uiPriority w:val="0"/>
    <w:rPr>
      <w:rFonts w:ascii="Calibri" w:hAnsi="Calibri" w:eastAsia="宋体" w:cs="Times New Roman"/>
      <w:vertAlign w:val="superscript"/>
    </w:rPr>
  </w:style>
  <w:style w:type="character" w:styleId="59">
    <w:name w:val="page number"/>
    <w:qFormat/>
    <w:uiPriority w:val="0"/>
  </w:style>
  <w:style w:type="character" w:styleId="60">
    <w:name w:val="FollowedHyperlink"/>
    <w:qFormat/>
    <w:uiPriority w:val="0"/>
    <w:rPr>
      <w:rFonts w:ascii="Times New Roman" w:hAnsi="Times New Roman" w:eastAsia="宋体" w:cs="Times New Roman"/>
      <w:color w:val="800080"/>
      <w:u w:val="single"/>
    </w:rPr>
  </w:style>
  <w:style w:type="character" w:styleId="61">
    <w:name w:val="Emphasis"/>
    <w:qFormat/>
    <w:uiPriority w:val="0"/>
    <w:rPr>
      <w:rFonts w:ascii="Times New Roman" w:hAnsi="Times New Roman" w:eastAsia="宋体" w:cs="Times New Roman"/>
      <w:i/>
      <w:iCs/>
    </w:rPr>
  </w:style>
  <w:style w:type="character" w:styleId="62">
    <w:name w:val="Hyperlink"/>
    <w:qFormat/>
    <w:uiPriority w:val="0"/>
    <w:rPr>
      <w:color w:val="0000FF"/>
      <w:u w:val="single"/>
    </w:rPr>
  </w:style>
  <w:style w:type="character" w:styleId="63">
    <w:name w:val="annotation reference"/>
    <w:qFormat/>
    <w:uiPriority w:val="0"/>
    <w:rPr>
      <w:sz w:val="21"/>
      <w:szCs w:val="21"/>
    </w:rPr>
  </w:style>
  <w:style w:type="character" w:styleId="64">
    <w:name w:val="HTML Cite"/>
    <w:qFormat/>
    <w:uiPriority w:val="0"/>
    <w:rPr>
      <w:rFonts w:ascii="Times New Roman" w:hAnsi="Times New Roman" w:eastAsia="宋体" w:cs="Times New Roman"/>
      <w:color w:val="008000"/>
    </w:rPr>
  </w:style>
  <w:style w:type="character" w:styleId="65">
    <w:name w:val="footnote reference"/>
    <w:qFormat/>
    <w:uiPriority w:val="0"/>
    <w:rPr>
      <w:rFonts w:ascii="Times New Roman" w:hAnsi="Times New Roman" w:eastAsia="宋体" w:cs="Times New Roman"/>
      <w:vertAlign w:val="superscript"/>
    </w:rPr>
  </w:style>
  <w:style w:type="paragraph" w:customStyle="1" w:styleId="66">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7">
    <w:name w:val="_Style 6"/>
    <w:next w:val="1"/>
    <w:qFormat/>
    <w:uiPriority w:val="0"/>
    <w:pPr>
      <w:wordWrap w:val="0"/>
      <w:spacing w:before="200" w:after="160"/>
      <w:ind w:left="864" w:right="864"/>
      <w:jc w:val="center"/>
    </w:pPr>
    <w:rPr>
      <w:rFonts w:ascii="Times New Roman" w:hAnsi="Times New Roman" w:eastAsia="宋体" w:cs="Times New Roman"/>
      <w:i/>
      <w:sz w:val="21"/>
      <w:szCs w:val="22"/>
      <w:lang w:val="en-US" w:eastAsia="zh-CN" w:bidi="ar-SA"/>
    </w:rPr>
  </w:style>
  <w:style w:type="paragraph" w:customStyle="1" w:styleId="68">
    <w:name w:val="附件标题-1"/>
    <w:basedOn w:val="1"/>
    <w:next w:val="1"/>
    <w:qFormat/>
    <w:uiPriority w:val="0"/>
    <w:pPr>
      <w:spacing w:beforeLines="50"/>
      <w:jc w:val="center"/>
    </w:pPr>
    <w:rPr>
      <w:rFonts w:eastAsia="黑体"/>
      <w:sz w:val="32"/>
    </w:rPr>
  </w:style>
  <w:style w:type="paragraph" w:customStyle="1" w:styleId="69">
    <w:name w:val="目录 53"/>
    <w:next w:val="1"/>
    <w:qFormat/>
    <w:uiPriority w:val="99"/>
    <w:pPr>
      <w:wordWrap w:val="0"/>
      <w:ind w:left="1275"/>
      <w:jc w:val="both"/>
    </w:pPr>
    <w:rPr>
      <w:rFonts w:ascii="Calibri" w:hAnsi="Calibri" w:eastAsia="宋体" w:cs="Times New Roman"/>
      <w:sz w:val="21"/>
      <w:szCs w:val="22"/>
      <w:lang w:val="en-US" w:eastAsia="zh-CN" w:bidi="ar-SA"/>
    </w:rPr>
  </w:style>
  <w:style w:type="character" w:customStyle="1" w:styleId="70">
    <w:name w:val="正文文本 字符"/>
    <w:link w:val="21"/>
    <w:qFormat/>
    <w:uiPriority w:val="99"/>
    <w:rPr>
      <w:rFonts w:eastAsia="宋体"/>
      <w:kern w:val="2"/>
      <w:sz w:val="26"/>
      <w:szCs w:val="24"/>
      <w:lang w:val="en-US" w:eastAsia="zh-CN" w:bidi="ar-SA"/>
    </w:rPr>
  </w:style>
  <w:style w:type="character" w:customStyle="1" w:styleId="71">
    <w:name w:val="标题 1 字符"/>
    <w:link w:val="3"/>
    <w:qFormat/>
    <w:uiPriority w:val="9"/>
    <w:rPr>
      <w:rFonts w:eastAsia="黑体"/>
      <w:kern w:val="2"/>
      <w:sz w:val="44"/>
      <w:szCs w:val="44"/>
      <w:lang w:val="en-US" w:eastAsia="zh-CN" w:bidi="ar-SA"/>
    </w:rPr>
  </w:style>
  <w:style w:type="character" w:customStyle="1" w:styleId="72">
    <w:name w:val="标题 2 字符"/>
    <w:link w:val="4"/>
    <w:qFormat/>
    <w:uiPriority w:val="9"/>
    <w:rPr>
      <w:rFonts w:ascii="仿宋_GB2312" w:eastAsia="仿宋_GB2312" w:cs="MingLiU"/>
      <w:b/>
      <w:spacing w:val="1"/>
      <w:w w:val="99"/>
      <w:sz w:val="28"/>
      <w:szCs w:val="32"/>
      <w:lang w:val="en-US" w:eastAsia="zh-CN" w:bidi="ar-SA"/>
    </w:rPr>
  </w:style>
  <w:style w:type="character" w:customStyle="1" w:styleId="73">
    <w:name w:val="标题 3 字符"/>
    <w:link w:val="5"/>
    <w:qFormat/>
    <w:uiPriority w:val="0"/>
    <w:rPr>
      <w:rFonts w:ascii="仿宋_GB2312" w:eastAsia="仿宋_GB2312" w:cs="MingLiU"/>
      <w:b/>
      <w:sz w:val="24"/>
      <w:szCs w:val="28"/>
      <w:lang w:val="en-US" w:eastAsia="zh-CN" w:bidi="ar-SA"/>
    </w:rPr>
  </w:style>
  <w:style w:type="character" w:customStyle="1" w:styleId="74">
    <w:name w:val="标题 4 字符"/>
    <w:link w:val="6"/>
    <w:qFormat/>
    <w:uiPriority w:val="9"/>
    <w:rPr>
      <w:rFonts w:ascii="仿宋_GB2312" w:eastAsia="仿宋_GB2312" w:cs="MingLiU"/>
      <w:b/>
      <w:sz w:val="24"/>
      <w:szCs w:val="28"/>
      <w:lang w:val="en-US" w:eastAsia="zh-CN" w:bidi="ar-SA"/>
    </w:rPr>
  </w:style>
  <w:style w:type="character" w:customStyle="1" w:styleId="75">
    <w:name w:val="标题 5 Char"/>
    <w:link w:val="7"/>
    <w:qFormat/>
    <w:uiPriority w:val="0"/>
    <w:rPr>
      <w:b/>
      <w:bCs/>
      <w:sz w:val="28"/>
      <w:szCs w:val="28"/>
    </w:rPr>
  </w:style>
  <w:style w:type="character" w:customStyle="1" w:styleId="76">
    <w:name w:val="标题 6 Char"/>
    <w:link w:val="8"/>
    <w:qFormat/>
    <w:uiPriority w:val="0"/>
    <w:rPr>
      <w:rFonts w:ascii="Arial" w:hAnsi="Arial" w:eastAsia="黑体"/>
      <w:b/>
      <w:bCs/>
      <w:sz w:val="24"/>
      <w:szCs w:val="24"/>
    </w:rPr>
  </w:style>
  <w:style w:type="character" w:customStyle="1" w:styleId="77">
    <w:name w:val="标题 7 Char"/>
    <w:link w:val="9"/>
    <w:qFormat/>
    <w:uiPriority w:val="0"/>
    <w:rPr>
      <w:b/>
      <w:bCs/>
      <w:sz w:val="24"/>
      <w:szCs w:val="24"/>
    </w:rPr>
  </w:style>
  <w:style w:type="character" w:customStyle="1" w:styleId="78">
    <w:name w:val="标题 8 Char"/>
    <w:link w:val="10"/>
    <w:qFormat/>
    <w:uiPriority w:val="0"/>
    <w:rPr>
      <w:rFonts w:ascii="Arial" w:hAnsi="Arial" w:eastAsia="黑体"/>
      <w:sz w:val="24"/>
      <w:szCs w:val="24"/>
    </w:rPr>
  </w:style>
  <w:style w:type="character" w:customStyle="1" w:styleId="79">
    <w:name w:val="标题 9 Char"/>
    <w:link w:val="11"/>
    <w:qFormat/>
    <w:uiPriority w:val="0"/>
    <w:rPr>
      <w:rFonts w:ascii="Arial" w:hAnsi="Arial" w:eastAsia="黑体"/>
      <w:szCs w:val="21"/>
    </w:rPr>
  </w:style>
  <w:style w:type="character" w:customStyle="1" w:styleId="80">
    <w:name w:val="文档结构图 字符"/>
    <w:link w:val="17"/>
    <w:semiHidden/>
    <w:qFormat/>
    <w:uiPriority w:val="99"/>
    <w:rPr>
      <w:rFonts w:ascii="宋体"/>
      <w:kern w:val="2"/>
      <w:sz w:val="18"/>
      <w:szCs w:val="18"/>
    </w:rPr>
  </w:style>
  <w:style w:type="character" w:customStyle="1" w:styleId="81">
    <w:name w:val="批注文字 字符"/>
    <w:link w:val="18"/>
    <w:semiHidden/>
    <w:qFormat/>
    <w:uiPriority w:val="99"/>
    <w:rPr>
      <w:rFonts w:eastAsia="宋体"/>
      <w:sz w:val="24"/>
      <w:lang w:val="en-US" w:eastAsia="zh-CN" w:bidi="ar-SA"/>
    </w:rPr>
  </w:style>
  <w:style w:type="character" w:customStyle="1" w:styleId="82">
    <w:name w:val="正文文本 3 Char"/>
    <w:link w:val="19"/>
    <w:qFormat/>
    <w:uiPriority w:val="0"/>
    <w:rPr>
      <w:kern w:val="2"/>
      <w:sz w:val="16"/>
      <w:szCs w:val="16"/>
    </w:rPr>
  </w:style>
  <w:style w:type="character" w:customStyle="1" w:styleId="83">
    <w:name w:val="正文文本缩进 Char"/>
    <w:link w:val="22"/>
    <w:qFormat/>
    <w:uiPriority w:val="0"/>
    <w:rPr>
      <w:rFonts w:ascii="黑体" w:hAnsi="宋体" w:eastAsia="黑体"/>
      <w:color w:val="000000"/>
      <w:sz w:val="28"/>
    </w:rPr>
  </w:style>
  <w:style w:type="character" w:customStyle="1" w:styleId="84">
    <w:name w:val="纯文本 字符"/>
    <w:link w:val="28"/>
    <w:qFormat/>
    <w:uiPriority w:val="99"/>
    <w:rPr>
      <w:rFonts w:ascii="宋体" w:hAnsi="Courier New" w:eastAsia="宋体"/>
      <w:kern w:val="2"/>
      <w:sz w:val="28"/>
      <w:szCs w:val="28"/>
      <w:lang w:val="en-US" w:eastAsia="zh-CN" w:bidi="ar-SA"/>
    </w:rPr>
  </w:style>
  <w:style w:type="character" w:customStyle="1" w:styleId="85">
    <w:name w:val="日期 字符"/>
    <w:link w:val="31"/>
    <w:qFormat/>
    <w:uiPriority w:val="99"/>
    <w:rPr>
      <w:kern w:val="2"/>
      <w:sz w:val="21"/>
      <w:szCs w:val="24"/>
    </w:rPr>
  </w:style>
  <w:style w:type="character" w:customStyle="1" w:styleId="86">
    <w:name w:val="正文文本缩进 2 Char"/>
    <w:link w:val="32"/>
    <w:qFormat/>
    <w:uiPriority w:val="0"/>
    <w:rPr>
      <w:rFonts w:eastAsia="仿宋_GB2312"/>
      <w:kern w:val="2"/>
      <w:sz w:val="32"/>
    </w:rPr>
  </w:style>
  <w:style w:type="character" w:customStyle="1" w:styleId="87">
    <w:name w:val="尾注文本 Char1"/>
    <w:link w:val="33"/>
    <w:qFormat/>
    <w:uiPriority w:val="0"/>
    <w:rPr>
      <w:rFonts w:ascii="Arial" w:hAnsi="Arial"/>
      <w:szCs w:val="24"/>
      <w:lang w:eastAsia="en-US"/>
    </w:rPr>
  </w:style>
  <w:style w:type="character" w:customStyle="1" w:styleId="88">
    <w:name w:val="批注框文本 字符"/>
    <w:link w:val="34"/>
    <w:qFormat/>
    <w:uiPriority w:val="99"/>
    <w:rPr>
      <w:rFonts w:eastAsia="宋体"/>
      <w:kern w:val="2"/>
      <w:sz w:val="18"/>
      <w:szCs w:val="18"/>
      <w:lang w:val="en-US" w:eastAsia="zh-CN" w:bidi="ar-SA"/>
    </w:rPr>
  </w:style>
  <w:style w:type="character" w:customStyle="1" w:styleId="89">
    <w:name w:val="页脚 字符"/>
    <w:link w:val="35"/>
    <w:qFormat/>
    <w:uiPriority w:val="99"/>
    <w:rPr>
      <w:rFonts w:eastAsia="宋体"/>
      <w:kern w:val="2"/>
      <w:sz w:val="18"/>
      <w:szCs w:val="18"/>
      <w:lang w:val="en-US" w:eastAsia="zh-CN" w:bidi="ar-SA"/>
    </w:rPr>
  </w:style>
  <w:style w:type="character" w:customStyle="1" w:styleId="90">
    <w:name w:val="页眉 字符"/>
    <w:link w:val="36"/>
    <w:qFormat/>
    <w:uiPriority w:val="99"/>
    <w:rPr>
      <w:rFonts w:eastAsia="宋体"/>
      <w:kern w:val="2"/>
      <w:sz w:val="18"/>
      <w:szCs w:val="18"/>
      <w:lang w:val="en-US" w:eastAsia="zh-CN" w:bidi="ar-SA"/>
    </w:rPr>
  </w:style>
  <w:style w:type="character" w:customStyle="1" w:styleId="91">
    <w:name w:val="副标题 Char"/>
    <w:link w:val="39"/>
    <w:qFormat/>
    <w:uiPriority w:val="0"/>
    <w:rPr>
      <w:szCs w:val="24"/>
      <w:u w:val="single"/>
      <w:lang w:eastAsia="en-US"/>
    </w:rPr>
  </w:style>
  <w:style w:type="character" w:customStyle="1" w:styleId="92">
    <w:name w:val="脚注文本 字符"/>
    <w:link w:val="40"/>
    <w:qFormat/>
    <w:uiPriority w:val="99"/>
    <w:rPr>
      <w:rFonts w:eastAsia="宋体"/>
      <w:kern w:val="2"/>
      <w:sz w:val="18"/>
      <w:szCs w:val="18"/>
      <w:lang w:val="en-US" w:eastAsia="zh-CN" w:bidi="ar-SA"/>
    </w:rPr>
  </w:style>
  <w:style w:type="character" w:customStyle="1" w:styleId="93">
    <w:name w:val="正文文本缩进 3 Char"/>
    <w:link w:val="42"/>
    <w:qFormat/>
    <w:uiPriority w:val="0"/>
    <w:rPr>
      <w:sz w:val="16"/>
    </w:rPr>
  </w:style>
  <w:style w:type="character" w:customStyle="1" w:styleId="94">
    <w:name w:val="正文文本 2 字符"/>
    <w:link w:val="45"/>
    <w:qFormat/>
    <w:uiPriority w:val="99"/>
    <w:rPr>
      <w:rFonts w:eastAsia="宋体"/>
      <w:i/>
      <w:iCs/>
      <w:kern w:val="2"/>
      <w:sz w:val="26"/>
      <w:szCs w:val="24"/>
      <w:lang w:val="en-US" w:eastAsia="zh-CN" w:bidi="ar-SA"/>
    </w:rPr>
  </w:style>
  <w:style w:type="character" w:customStyle="1" w:styleId="95">
    <w:name w:val="HTML 预设格式 Char"/>
    <w:link w:val="47"/>
    <w:qFormat/>
    <w:uiPriority w:val="0"/>
    <w:rPr>
      <w:rFonts w:ascii="Arial" w:hAnsi="Arial" w:cs="Arial"/>
      <w:sz w:val="24"/>
      <w:szCs w:val="24"/>
    </w:rPr>
  </w:style>
  <w:style w:type="character" w:customStyle="1" w:styleId="96">
    <w:name w:val="标题 字符"/>
    <w:link w:val="50"/>
    <w:qFormat/>
    <w:uiPriority w:val="10"/>
    <w:rPr>
      <w:rFonts w:ascii="Arial" w:hAnsi="Arial" w:cs="Arial"/>
      <w:b/>
      <w:bCs/>
      <w:kern w:val="2"/>
      <w:sz w:val="32"/>
      <w:szCs w:val="32"/>
    </w:rPr>
  </w:style>
  <w:style w:type="character" w:customStyle="1" w:styleId="97">
    <w:name w:val="批注主题 字符"/>
    <w:link w:val="51"/>
    <w:qFormat/>
    <w:uiPriority w:val="99"/>
    <w:rPr>
      <w:rFonts w:eastAsia="宋体"/>
      <w:b/>
      <w:bCs/>
      <w:kern w:val="2"/>
      <w:sz w:val="21"/>
      <w:szCs w:val="24"/>
      <w:lang w:val="en-US" w:eastAsia="zh-CN" w:bidi="ar-SA"/>
    </w:rPr>
  </w:style>
  <w:style w:type="character" w:customStyle="1" w:styleId="98">
    <w:name w:val="正文文本首行缩进 字符"/>
    <w:link w:val="52"/>
    <w:qFormat/>
    <w:uiPriority w:val="0"/>
    <w:rPr>
      <w:kern w:val="2"/>
      <w:sz w:val="26"/>
      <w:szCs w:val="24"/>
    </w:rPr>
  </w:style>
  <w:style w:type="character" w:customStyle="1" w:styleId="99">
    <w:name w:val="正文首行缩进 2 Char"/>
    <w:link w:val="53"/>
    <w:qFormat/>
    <w:uiPriority w:val="0"/>
    <w:rPr>
      <w:rFonts w:ascii="黑体" w:hAnsi="宋体" w:eastAsia="黑体"/>
      <w:color w:val="000000"/>
      <w:szCs w:val="24"/>
    </w:rPr>
  </w:style>
  <w:style w:type="character" w:customStyle="1" w:styleId="100">
    <w:name w:val="NormalCharacter"/>
    <w:semiHidden/>
    <w:qFormat/>
    <w:uiPriority w:val="0"/>
    <w:rPr>
      <w:kern w:val="2"/>
      <w:sz w:val="21"/>
      <w:szCs w:val="24"/>
      <w:lang w:val="en-US" w:eastAsia="zh-CN" w:bidi="ar-SA"/>
    </w:rPr>
  </w:style>
  <w:style w:type="character" w:customStyle="1" w:styleId="101">
    <w:name w:val="Plain Text Char"/>
    <w:qFormat/>
    <w:locked/>
    <w:uiPriority w:val="0"/>
    <w:rPr>
      <w:rFonts w:ascii="宋体" w:hAnsi="Courier New" w:cs="Times New Roman"/>
      <w:kern w:val="2"/>
      <w:sz w:val="24"/>
      <w:szCs w:val="24"/>
    </w:rPr>
  </w:style>
  <w:style w:type="character" w:customStyle="1" w:styleId="102">
    <w:name w:val="页眉 Char"/>
    <w:qFormat/>
    <w:uiPriority w:val="0"/>
    <w:rPr>
      <w:kern w:val="2"/>
      <w:sz w:val="18"/>
      <w:szCs w:val="18"/>
    </w:rPr>
  </w:style>
  <w:style w:type="character" w:customStyle="1" w:styleId="103">
    <w:name w:val=" Char Char24"/>
    <w:qFormat/>
    <w:uiPriority w:val="0"/>
    <w:rPr>
      <w:rFonts w:ascii="Courier New" w:hAnsi="Courier New"/>
      <w:kern w:val="2"/>
      <w:sz w:val="21"/>
    </w:rPr>
  </w:style>
  <w:style w:type="character" w:customStyle="1" w:styleId="104">
    <w:name w:val="招标正文 Char"/>
    <w:link w:val="105"/>
    <w:qFormat/>
    <w:uiPriority w:val="0"/>
    <w:rPr>
      <w:rFonts w:ascii="宋体" w:hAnsi="宋体"/>
      <w:kern w:val="2"/>
      <w:sz w:val="21"/>
      <w:szCs w:val="21"/>
      <w:lang w:bidi="ar-SA"/>
    </w:rPr>
  </w:style>
  <w:style w:type="paragraph" w:customStyle="1" w:styleId="105">
    <w:name w:val="招标正文"/>
    <w:basedOn w:val="1"/>
    <w:link w:val="104"/>
    <w:qFormat/>
    <w:uiPriority w:val="0"/>
    <w:pPr>
      <w:spacing w:line="300" w:lineRule="auto"/>
      <w:ind w:firstLine="420" w:firstLineChars="200"/>
    </w:pPr>
    <w:rPr>
      <w:rFonts w:ascii="宋体" w:hAnsi="宋体"/>
      <w:szCs w:val="21"/>
    </w:rPr>
  </w:style>
  <w:style w:type="paragraph" w:customStyle="1" w:styleId="10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
    <w:name w:val="Body Text Indent1"/>
    <w:basedOn w:val="1"/>
    <w:unhideWhenUsed/>
    <w:qFormat/>
    <w:uiPriority w:val="99"/>
    <w:pPr>
      <w:ind w:left="420" w:leftChars="200"/>
    </w:pPr>
  </w:style>
  <w:style w:type="paragraph" w:customStyle="1" w:styleId="108">
    <w:name w:val="链接"/>
    <w:qFormat/>
    <w:uiPriority w:val="0"/>
    <w:pPr>
      <w:widowControl w:val="0"/>
      <w:autoSpaceDE w:val="0"/>
      <w:autoSpaceDN w:val="0"/>
      <w:adjustRightInd w:val="0"/>
      <w:ind w:left="720"/>
    </w:pPr>
    <w:rPr>
      <w:rFonts w:ascii="Times New Roman" w:hAnsi="Times New Roman" w:eastAsia="宋体" w:cs="Times New Roman"/>
      <w:color w:val="0000FF"/>
      <w:sz w:val="21"/>
      <w:szCs w:val="21"/>
      <w:u w:val="single"/>
      <w:lang w:val="en-US" w:eastAsia="zh-CN" w:bidi="ar-SA"/>
    </w:rPr>
  </w:style>
  <w:style w:type="paragraph" w:customStyle="1" w:styleId="109">
    <w:name w:val="UserStyle_5"/>
    <w:basedOn w:val="1"/>
    <w:qFormat/>
    <w:uiPriority w:val="0"/>
    <w:pPr>
      <w:ind w:left="420" w:leftChars="200"/>
      <w:jc w:val="both"/>
      <w:textAlignment w:val="baseline"/>
    </w:pPr>
  </w:style>
  <w:style w:type="paragraph" w:customStyle="1" w:styleId="110">
    <w:name w:val="UserStyle_1"/>
    <w:next w:val="1"/>
    <w:qFormat/>
    <w:uiPriority w:val="0"/>
    <w:pPr>
      <w:ind w:left="1275"/>
      <w:jc w:val="both"/>
      <w:textAlignment w:val="baseline"/>
    </w:pPr>
    <w:rPr>
      <w:rFonts w:ascii="Calibri" w:hAnsi="Calibri" w:eastAsia="宋体" w:cs="Times New Roman"/>
      <w:sz w:val="21"/>
      <w:lang w:val="en-US" w:eastAsia="zh-CN" w:bidi="ar-SA"/>
    </w:rPr>
  </w:style>
  <w:style w:type="paragraph" w:customStyle="1" w:styleId="111">
    <w:name w:val="BodyText1I"/>
    <w:basedOn w:val="112"/>
    <w:qFormat/>
    <w:uiPriority w:val="0"/>
    <w:pPr>
      <w:spacing w:after="120"/>
      <w:ind w:firstLine="420" w:firstLineChars="100"/>
      <w:jc w:val="both"/>
      <w:textAlignment w:val="baseline"/>
    </w:pPr>
  </w:style>
  <w:style w:type="paragraph" w:customStyle="1" w:styleId="112">
    <w:name w:val="BodyText"/>
    <w:basedOn w:val="1"/>
    <w:next w:val="110"/>
    <w:qFormat/>
    <w:uiPriority w:val="0"/>
    <w:pPr>
      <w:spacing w:after="120"/>
      <w:jc w:val="both"/>
      <w:textAlignment w:val="baseline"/>
    </w:pPr>
  </w:style>
  <w:style w:type="paragraph" w:customStyle="1" w:styleId="113">
    <w:name w:val="TOC1"/>
    <w:basedOn w:val="1"/>
    <w:next w:val="1"/>
    <w:qFormat/>
    <w:uiPriority w:val="0"/>
    <w:pPr>
      <w:spacing w:before="120" w:after="120"/>
      <w:jc w:val="left"/>
      <w:textAlignment w:val="baseline"/>
    </w:pPr>
    <w:rPr>
      <w:rFonts w:ascii="Calibri" w:hAnsi="Calibri" w:eastAsia="宋体" w:cs="Calibri"/>
      <w:b/>
      <w:bCs/>
      <w:caps/>
      <w:kern w:val="2"/>
      <w:sz w:val="20"/>
      <w:szCs w:val="20"/>
      <w:lang w:val="en-US" w:eastAsia="zh-CN" w:bidi="ar-SA"/>
    </w:rPr>
  </w:style>
  <w:style w:type="paragraph" w:customStyle="1" w:styleId="114">
    <w:name w:val=" Char Char Char Char Char Char Char Char Char"/>
    <w:basedOn w:val="1"/>
    <w:qFormat/>
    <w:uiPriority w:val="0"/>
  </w:style>
  <w:style w:type="paragraph" w:customStyle="1" w:styleId="115">
    <w:name w:val="BodyTextIndent2"/>
    <w:basedOn w:val="1"/>
    <w:qFormat/>
    <w:uiPriority w:val="0"/>
    <w:pPr>
      <w:widowControl/>
      <w:spacing w:line="480" w:lineRule="auto"/>
      <w:ind w:firstLine="560"/>
      <w:jc w:val="left"/>
      <w:textAlignment w:val="baseline"/>
    </w:pPr>
    <w:rPr>
      <w:rFonts w:ascii="Calibri" w:hAnsi="Calibri" w:eastAsia="宋体"/>
      <w:kern w:val="0"/>
      <w:sz w:val="28"/>
      <w:szCs w:val="24"/>
      <w:lang w:val="en-US" w:eastAsia="zh-CN" w:bidi="ar-SA"/>
    </w:rPr>
  </w:style>
  <w:style w:type="paragraph" w:customStyle="1" w:styleId="116">
    <w:name w:val="UserStyle_2"/>
    <w:basedOn w:val="117"/>
    <w:next w:val="117"/>
    <w:qFormat/>
    <w:uiPriority w:val="0"/>
    <w:pPr>
      <w:spacing w:line="300" w:lineRule="auto"/>
      <w:ind w:firstLine="420" w:firstLineChars="200"/>
      <w:jc w:val="both"/>
      <w:textAlignment w:val="baseline"/>
    </w:pPr>
    <w:rPr>
      <w:rFonts w:ascii="宋体" w:hAnsi="宋体" w:eastAsia="宋体"/>
      <w:kern w:val="2"/>
      <w:sz w:val="21"/>
      <w:szCs w:val="21"/>
      <w:lang w:val="en-US" w:eastAsia="zh-CN" w:bidi="ar-SA"/>
    </w:rPr>
  </w:style>
  <w:style w:type="paragraph" w:customStyle="1" w:styleId="117">
    <w:name w:val="UserStyle_3"/>
    <w:basedOn w:val="1"/>
    <w:qFormat/>
    <w:uiPriority w:val="0"/>
    <w:pPr>
      <w:spacing w:line="300" w:lineRule="auto"/>
      <w:ind w:firstLine="200" w:firstLineChars="200"/>
      <w:jc w:val="both"/>
      <w:textAlignment w:val="baseline"/>
    </w:pPr>
    <w:rPr>
      <w:rFonts w:ascii="Calibri" w:hAnsi="Calibri" w:eastAsia="宋体"/>
      <w:kern w:val="2"/>
      <w:sz w:val="21"/>
      <w:szCs w:val="18"/>
      <w:lang w:val="en-US" w:eastAsia="zh-CN" w:bidi="ar-SA"/>
    </w:rPr>
  </w:style>
  <w:style w:type="paragraph" w:customStyle="1" w:styleId="118">
    <w:name w:val="UserStyle_8"/>
    <w:basedOn w:val="1"/>
    <w:next w:val="116"/>
    <w:qFormat/>
    <w:uiPriority w:val="0"/>
    <w:pPr>
      <w:jc w:val="both"/>
      <w:textAlignment w:val="baseline"/>
    </w:pPr>
    <w:rPr>
      <w:rFonts w:ascii="Calibri" w:hAnsi="Calibri" w:eastAsia="宋体"/>
      <w:b/>
      <w:kern w:val="2"/>
      <w:sz w:val="24"/>
      <w:szCs w:val="24"/>
      <w:lang w:val="en-US" w:eastAsia="zh-CN" w:bidi="ar-SA"/>
    </w:rPr>
  </w:style>
  <w:style w:type="paragraph" w:customStyle="1" w:styleId="119">
    <w:name w:val=" Char Char29 Char Char Char Char Char Char"/>
    <w:basedOn w:val="1"/>
    <w:qFormat/>
    <w:uiPriority w:val="0"/>
    <w:pPr>
      <w:spacing w:before="182" w:beforeLines="50" w:after="182" w:afterLines="50"/>
    </w:pPr>
    <w:rPr>
      <w:rFonts w:ascii="Tahoma" w:hAnsi="Tahoma"/>
      <w:sz w:val="24"/>
      <w:szCs w:val="20"/>
    </w:rPr>
  </w:style>
  <w:style w:type="paragraph" w:customStyle="1" w:styleId="120">
    <w:name w:val="Heading2"/>
    <w:basedOn w:val="1"/>
    <w:next w:val="1"/>
    <w:qFormat/>
    <w:uiPriority w:val="0"/>
    <w:pPr>
      <w:keepNext/>
      <w:keepLines/>
      <w:spacing w:before="260" w:after="260" w:line="416" w:lineRule="auto"/>
      <w:jc w:val="both"/>
      <w:textAlignment w:val="baseline"/>
    </w:pPr>
    <w:rPr>
      <w:rFonts w:ascii="Cambria" w:hAnsi="Cambria" w:eastAsia="宋体" w:cs="Times New Roman"/>
      <w:b/>
      <w:bCs/>
      <w:kern w:val="0"/>
      <w:sz w:val="32"/>
      <w:szCs w:val="32"/>
      <w:lang w:val="en-US" w:eastAsia="zh-CN" w:bidi="ar-SA"/>
    </w:rPr>
  </w:style>
  <w:style w:type="paragraph" w:customStyle="1" w:styleId="121">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2">
    <w:name w:val="UserStyle_7"/>
    <w:basedOn w:val="109"/>
    <w:qFormat/>
    <w:uiPriority w:val="0"/>
    <w:pPr>
      <w:ind w:left="0" w:leftChars="200" w:firstLine="420"/>
      <w:jc w:val="both"/>
      <w:textAlignment w:val="baseline"/>
    </w:pPr>
    <w:rPr>
      <w:rFonts w:eastAsia="Times New Roman"/>
      <w:sz w:val="32"/>
      <w:szCs w:val="32"/>
    </w:rPr>
  </w:style>
  <w:style w:type="paragraph" w:customStyle="1" w:styleId="123">
    <w:name w:val="Body Text First Indent 21"/>
    <w:basedOn w:val="107"/>
    <w:unhideWhenUsed/>
    <w:qFormat/>
    <w:uiPriority w:val="99"/>
    <w:pPr>
      <w:ind w:left="0" w:firstLine="420"/>
    </w:pPr>
    <w:rPr>
      <w:rFonts w:eastAsia="Times New Roman"/>
      <w:sz w:val="32"/>
      <w:szCs w:val="32"/>
    </w:rPr>
  </w:style>
  <w:style w:type="paragraph" w:customStyle="1" w:styleId="124">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Table Paragraph"/>
    <w:basedOn w:val="1"/>
    <w:qFormat/>
    <w:uiPriority w:val="1"/>
    <w:rPr>
      <w:rFonts w:ascii="宋体" w:hAnsi="宋体" w:eastAsia="宋体" w:cs="宋体"/>
      <w:lang w:val="zh-CN" w:eastAsia="zh-CN" w:bidi="zh-CN"/>
    </w:rPr>
  </w:style>
  <w:style w:type="paragraph" w:customStyle="1" w:styleId="126">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character" w:customStyle="1" w:styleId="127">
    <w:name w:val="标题 5 字符"/>
    <w:semiHidden/>
    <w:qFormat/>
    <w:uiPriority w:val="9"/>
    <w:rPr>
      <w:b/>
      <w:bCs/>
      <w:kern w:val="2"/>
      <w:sz w:val="28"/>
      <w:szCs w:val="28"/>
    </w:rPr>
  </w:style>
  <w:style w:type="character" w:customStyle="1" w:styleId="128">
    <w:name w:val="标题 6 字符"/>
    <w:semiHidden/>
    <w:qFormat/>
    <w:uiPriority w:val="9"/>
    <w:rPr>
      <w:rFonts w:ascii="等线 Light" w:hAnsi="等线 Light" w:eastAsia="等线 Light" w:cs="Times New Roman"/>
      <w:b/>
      <w:bCs/>
      <w:kern w:val="2"/>
      <w:sz w:val="24"/>
      <w:szCs w:val="24"/>
    </w:rPr>
  </w:style>
  <w:style w:type="character" w:customStyle="1" w:styleId="129">
    <w:name w:val="标题 7 字符"/>
    <w:semiHidden/>
    <w:qFormat/>
    <w:uiPriority w:val="9"/>
    <w:rPr>
      <w:b/>
      <w:bCs/>
      <w:kern w:val="2"/>
      <w:sz w:val="24"/>
      <w:szCs w:val="24"/>
    </w:rPr>
  </w:style>
  <w:style w:type="character" w:customStyle="1" w:styleId="130">
    <w:name w:val="标题 8 字符"/>
    <w:semiHidden/>
    <w:qFormat/>
    <w:uiPriority w:val="9"/>
    <w:rPr>
      <w:rFonts w:ascii="等线 Light" w:hAnsi="等线 Light" w:eastAsia="等线 Light" w:cs="Times New Roman"/>
      <w:kern w:val="2"/>
      <w:sz w:val="24"/>
      <w:szCs w:val="24"/>
    </w:rPr>
  </w:style>
  <w:style w:type="character" w:customStyle="1" w:styleId="131">
    <w:name w:val="标题 9 字符"/>
    <w:semiHidden/>
    <w:qFormat/>
    <w:uiPriority w:val="9"/>
    <w:rPr>
      <w:rFonts w:ascii="等线 Light" w:hAnsi="等线 Light" w:eastAsia="等线 Light" w:cs="Times New Roman"/>
      <w:kern w:val="2"/>
      <w:sz w:val="21"/>
      <w:szCs w:val="21"/>
    </w:rPr>
  </w:style>
  <w:style w:type="character" w:customStyle="1" w:styleId="132">
    <w:name w:val="文档结构图 Char1"/>
    <w:qFormat/>
    <w:uiPriority w:val="0"/>
    <w:rPr>
      <w:rFonts w:ascii="宋体" w:hAnsi="Times New Roman" w:eastAsia="宋体" w:cs="Times New Roman"/>
      <w:sz w:val="18"/>
      <w:szCs w:val="18"/>
    </w:rPr>
  </w:style>
  <w:style w:type="character" w:customStyle="1" w:styleId="133">
    <w:name w:val="标题 Char1"/>
    <w:qFormat/>
    <w:uiPriority w:val="0"/>
    <w:rPr>
      <w:szCs w:val="24"/>
      <w:u w:val="single"/>
      <w:lang w:eastAsia="en-US"/>
    </w:rPr>
  </w:style>
  <w:style w:type="character" w:customStyle="1" w:styleId="134">
    <w:name w:val="样式3 Char"/>
    <w:qFormat/>
    <w:uiPriority w:val="0"/>
    <w:rPr>
      <w:rFonts w:hint="eastAsia" w:ascii="宋体" w:hAnsi="宋体" w:eastAsia="仿宋_GB2312" w:cs="Times New Roman"/>
      <w:b/>
      <w:bCs/>
      <w:kern w:val="2"/>
      <w:sz w:val="24"/>
      <w:szCs w:val="32"/>
      <w:lang w:val="en-US" w:eastAsia="zh-CN" w:bidi="ar-SA"/>
    </w:rPr>
  </w:style>
  <w:style w:type="character" w:customStyle="1" w:styleId="135">
    <w:name w:val="Char Char11"/>
    <w:qFormat/>
    <w:uiPriority w:val="0"/>
    <w:rPr>
      <w:rFonts w:ascii="Times New Roman" w:hAnsi="Times New Roman" w:eastAsia="黑体" w:cs="Times New Roman"/>
      <w:kern w:val="2"/>
      <w:sz w:val="44"/>
      <w:lang w:val="en-US" w:eastAsia="zh-CN"/>
    </w:rPr>
  </w:style>
  <w:style w:type="character" w:customStyle="1" w:styleId="136">
    <w:name w:val="招标正文 Char Char"/>
    <w:qFormat/>
    <w:uiPriority w:val="0"/>
    <w:rPr>
      <w:rFonts w:hAnsi="宋体"/>
      <w:color w:val="000000"/>
      <w:szCs w:val="21"/>
    </w:rPr>
  </w:style>
  <w:style w:type="character" w:customStyle="1" w:styleId="137">
    <w:name w:val="批注框文本 Char3"/>
    <w:qFormat/>
    <w:uiPriority w:val="0"/>
    <w:rPr>
      <w:rFonts w:ascii="Times New Roman" w:hAnsi="Times New Roman" w:eastAsia="宋体" w:cs="Times New Roman"/>
      <w:kern w:val="2"/>
      <w:sz w:val="18"/>
      <w:szCs w:val="18"/>
    </w:rPr>
  </w:style>
  <w:style w:type="character" w:customStyle="1" w:styleId="138">
    <w:name w:val="标题 3 Char"/>
    <w:qFormat/>
    <w:uiPriority w:val="0"/>
    <w:rPr>
      <w:rFonts w:ascii="仿宋_GB2312" w:eastAsia="仿宋_GB2312"/>
      <w:b/>
      <w:bCs/>
      <w:sz w:val="24"/>
    </w:rPr>
  </w:style>
  <w:style w:type="character" w:customStyle="1" w:styleId="139">
    <w:name w:val="color_red1"/>
    <w:qFormat/>
    <w:uiPriority w:val="0"/>
    <w:rPr>
      <w:rFonts w:ascii="Calibri" w:hAnsi="Calibri" w:eastAsia="宋体" w:cs="Times New Roman"/>
      <w:color w:val="FA0004"/>
    </w:rPr>
  </w:style>
  <w:style w:type="character" w:customStyle="1" w:styleId="140">
    <w:name w:val=" Char Char4"/>
    <w:qFormat/>
    <w:uiPriority w:val="0"/>
    <w:rPr>
      <w:rFonts w:ascii="宋体" w:hAnsi="Courier New" w:eastAsia="宋体" w:cs="Times New Roman"/>
      <w:kern w:val="2"/>
      <w:sz w:val="28"/>
    </w:rPr>
  </w:style>
  <w:style w:type="character" w:customStyle="1" w:styleId="141">
    <w:name w:val="标题 3 Char1"/>
    <w:qFormat/>
    <w:uiPriority w:val="0"/>
    <w:rPr>
      <w:rFonts w:ascii="仿宋_GB2312" w:hAnsi="Times New Roman" w:eastAsia="仿宋_GB2312" w:cs="MingLiU"/>
      <w:b/>
      <w:kern w:val="2"/>
      <w:sz w:val="24"/>
      <w:szCs w:val="28"/>
    </w:rPr>
  </w:style>
  <w:style w:type="character" w:customStyle="1" w:styleId="142">
    <w:name w:val="style31"/>
    <w:qFormat/>
    <w:uiPriority w:val="0"/>
    <w:rPr>
      <w:rFonts w:ascii="Calibri" w:hAnsi="Calibri" w:eastAsia="宋体" w:cs="Times New Roman"/>
      <w:sz w:val="10"/>
      <w:szCs w:val="10"/>
    </w:rPr>
  </w:style>
  <w:style w:type="character" w:customStyle="1" w:styleId="143">
    <w:name w:val="_Style 139"/>
    <w:qFormat/>
    <w:uiPriority w:val="0"/>
    <w:rPr>
      <w:rFonts w:ascii="Times New Roman" w:hAnsi="Times New Roman" w:eastAsia="宋体" w:cs="Times New Roman"/>
      <w:b/>
      <w:bCs/>
      <w:smallCaps/>
      <w:color w:val="C0504D"/>
      <w:spacing w:val="5"/>
      <w:u w:val="single"/>
    </w:rPr>
  </w:style>
  <w:style w:type="character" w:customStyle="1" w:styleId="144">
    <w:name w:val="日期 Char1"/>
    <w:qFormat/>
    <w:uiPriority w:val="0"/>
    <w:rPr>
      <w:rFonts w:ascii="Times New Roman" w:hAnsi="Times New Roman" w:eastAsia="宋体" w:cs="Times New Roman"/>
      <w:szCs w:val="20"/>
    </w:rPr>
  </w:style>
  <w:style w:type="character" w:customStyle="1" w:styleId="145">
    <w:name w:val="style121"/>
    <w:qFormat/>
    <w:uiPriority w:val="0"/>
    <w:rPr>
      <w:rFonts w:hint="eastAsia" w:ascii="宋体" w:hAnsi="宋体" w:eastAsia="宋体" w:cs="Times New Roman"/>
      <w:sz w:val="18"/>
      <w:szCs w:val="18"/>
    </w:rPr>
  </w:style>
  <w:style w:type="character" w:customStyle="1" w:styleId="146">
    <w:name w:val="日期 Char"/>
    <w:qFormat/>
    <w:uiPriority w:val="0"/>
    <w:rPr>
      <w:sz w:val="24"/>
    </w:rPr>
  </w:style>
  <w:style w:type="character" w:customStyle="1" w:styleId="147">
    <w:name w:val="引用 Char Char Char"/>
    <w:qFormat/>
    <w:uiPriority w:val="0"/>
    <w:rPr>
      <w:rFonts w:ascii="Calibri" w:hAnsi="Calibri" w:eastAsia="宋体" w:cs="Times New Roman"/>
      <w:i/>
      <w:iCs/>
      <w:color w:val="000000"/>
      <w:kern w:val="2"/>
      <w:sz w:val="21"/>
      <w:szCs w:val="22"/>
      <w:lang w:bidi="ar-SA"/>
    </w:rPr>
  </w:style>
  <w:style w:type="character" w:customStyle="1" w:styleId="148">
    <w:name w:val="正文文本 Char2"/>
    <w:qFormat/>
    <w:uiPriority w:val="0"/>
    <w:rPr>
      <w:rFonts w:ascii="Times New Roman" w:hAnsi="Times New Roman" w:eastAsia="宋体" w:cs="Times New Roman"/>
      <w:kern w:val="2"/>
      <w:sz w:val="21"/>
      <w:szCs w:val="24"/>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脚注文本 Char"/>
    <w:qFormat/>
    <w:uiPriority w:val="0"/>
    <w:rPr>
      <w:sz w:val="18"/>
    </w:rPr>
  </w:style>
  <w:style w:type="character" w:customStyle="1" w:styleId="151">
    <w:name w:val="标题4 Char Char"/>
    <w:link w:val="152"/>
    <w:qFormat/>
    <w:uiPriority w:val="0"/>
    <w:rPr>
      <w:rFonts w:ascii="Arial" w:hAnsi="Arial"/>
      <w:b/>
      <w:bCs/>
      <w:sz w:val="24"/>
      <w:szCs w:val="32"/>
    </w:rPr>
  </w:style>
  <w:style w:type="paragraph" w:customStyle="1" w:styleId="152">
    <w:name w:val="标题4"/>
    <w:basedOn w:val="4"/>
    <w:next w:val="25"/>
    <w:link w:val="151"/>
    <w:qFormat/>
    <w:uiPriority w:val="0"/>
    <w:pPr>
      <w:keepNext/>
      <w:keepLines/>
      <w:autoSpaceDE/>
      <w:autoSpaceDN/>
      <w:adjustRightInd/>
      <w:snapToGrid/>
      <w:spacing w:before="260" w:after="260" w:line="413" w:lineRule="auto"/>
      <w:jc w:val="both"/>
    </w:pPr>
    <w:rPr>
      <w:rFonts w:ascii="Arial" w:hAnsi="Arial" w:eastAsia="宋体" w:cs="Times New Roman"/>
      <w:bCs/>
      <w:spacing w:val="0"/>
      <w:w w:val="100"/>
      <w:sz w:val="24"/>
    </w:rPr>
  </w:style>
  <w:style w:type="character" w:customStyle="1" w:styleId="153">
    <w:name w:val="标题 4 Char"/>
    <w:qFormat/>
    <w:uiPriority w:val="0"/>
    <w:rPr>
      <w:b/>
      <w:bCs/>
      <w:sz w:val="24"/>
    </w:rPr>
  </w:style>
  <w:style w:type="character" w:customStyle="1" w:styleId="154">
    <w:name w:val=" Char Char6"/>
    <w:qFormat/>
    <w:uiPriority w:val="0"/>
    <w:rPr>
      <w:rFonts w:ascii="Times New Roman" w:hAnsi="Times New Roman" w:eastAsia="宋体" w:cs="Times New Roman"/>
      <w:sz w:val="24"/>
    </w:rPr>
  </w:style>
  <w:style w:type="character" w:customStyle="1" w:styleId="155">
    <w:name w:val="明显引用 Char Char Char"/>
    <w:qFormat/>
    <w:uiPriority w:val="0"/>
    <w:rPr>
      <w:rFonts w:ascii="Calibri" w:hAnsi="Calibri" w:eastAsia="宋体" w:cs="Times New Roman"/>
      <w:b/>
      <w:bCs/>
      <w:i/>
      <w:iCs/>
      <w:color w:val="4F81BD"/>
      <w:kern w:val="2"/>
      <w:sz w:val="21"/>
      <w:szCs w:val="22"/>
      <w:lang w:bidi="ar-SA"/>
    </w:rPr>
  </w:style>
  <w:style w:type="character" w:customStyle="1" w:styleId="156">
    <w:name w:val=" Char Char5"/>
    <w:qFormat/>
    <w:uiPriority w:val="0"/>
    <w:rPr>
      <w:rFonts w:ascii="Times New Roman" w:hAnsi="Times New Roman" w:eastAsia="宋体" w:cs="Times New Roman"/>
      <w:kern w:val="2"/>
      <w:sz w:val="18"/>
    </w:rPr>
  </w:style>
  <w:style w:type="character" w:customStyle="1" w:styleId="157">
    <w:name w:val="正文文本缩进 2 Char1"/>
    <w:qFormat/>
    <w:uiPriority w:val="0"/>
    <w:rPr>
      <w:rFonts w:ascii="Times New Roman" w:hAnsi="Times New Roman" w:eastAsia="宋体" w:cs="Times New Roman"/>
      <w:szCs w:val="20"/>
    </w:rPr>
  </w:style>
  <w:style w:type="character" w:customStyle="1" w:styleId="158">
    <w:name w:val="副标题 Char2"/>
    <w:qFormat/>
    <w:uiPriority w:val="0"/>
    <w:rPr>
      <w:rFonts w:ascii="Cambria" w:hAnsi="Cambria" w:eastAsia="宋体" w:cs="Times New Roman"/>
      <w:b/>
      <w:bCs/>
      <w:kern w:val="28"/>
      <w:sz w:val="32"/>
      <w:szCs w:val="32"/>
    </w:rPr>
  </w:style>
  <w:style w:type="character" w:customStyle="1" w:styleId="159">
    <w:name w:val="Heading 1 Char"/>
    <w:qFormat/>
    <w:uiPriority w:val="0"/>
    <w:rPr>
      <w:rFonts w:hint="eastAsia" w:ascii="宋体" w:hAnsi="宋体" w:eastAsia="宋体" w:cs="Times New Roman"/>
      <w:b/>
      <w:bCs/>
      <w:kern w:val="44"/>
      <w:sz w:val="44"/>
      <w:szCs w:val="44"/>
      <w:lang w:val="en-US" w:eastAsia="zh-CN" w:bidi="ar-SA"/>
    </w:rPr>
  </w:style>
  <w:style w:type="character" w:customStyle="1" w:styleId="160">
    <w:name w:val="_Style 156"/>
    <w:qFormat/>
    <w:uiPriority w:val="0"/>
    <w:rPr>
      <w:rFonts w:ascii="Times New Roman" w:hAnsi="Times New Roman" w:eastAsia="宋体" w:cs="Times New Roman"/>
      <w:i/>
      <w:iCs/>
      <w:color w:val="808080"/>
    </w:rPr>
  </w:style>
  <w:style w:type="character" w:customStyle="1" w:styleId="161">
    <w:name w:val="style161"/>
    <w:qFormat/>
    <w:uiPriority w:val="0"/>
    <w:rPr>
      <w:rFonts w:ascii="Calibri" w:hAnsi="Calibri" w:eastAsia="宋体" w:cs="Times New Roman"/>
      <w:b/>
      <w:bCs/>
      <w:color w:val="333333"/>
    </w:rPr>
  </w:style>
  <w:style w:type="character" w:customStyle="1" w:styleId="162">
    <w:name w:val="明显引用 Char2"/>
    <w:qFormat/>
    <w:uiPriority w:val="0"/>
    <w:rPr>
      <w:rFonts w:ascii="Times New Roman" w:hAnsi="Times New Roman" w:eastAsia="宋体" w:cs="Times New Roman"/>
      <w:b/>
      <w:bCs/>
      <w:i/>
      <w:iCs/>
      <w:color w:val="4F81BD"/>
      <w:kern w:val="2"/>
      <w:sz w:val="21"/>
    </w:rPr>
  </w:style>
  <w:style w:type="character" w:customStyle="1" w:styleId="163">
    <w:name w:val="日期 Char2"/>
    <w:qFormat/>
    <w:uiPriority w:val="0"/>
    <w:rPr>
      <w:rFonts w:ascii="Times New Roman" w:hAnsi="Times New Roman" w:eastAsia="宋体" w:cs="Times New Roman"/>
      <w:kern w:val="2"/>
      <w:sz w:val="21"/>
      <w:szCs w:val="22"/>
    </w:rPr>
  </w:style>
  <w:style w:type="character" w:customStyle="1" w:styleId="164">
    <w:name w:val="标题 7 Char1"/>
    <w:qFormat/>
    <w:uiPriority w:val="0"/>
    <w:rPr>
      <w:rFonts w:ascii="Times New Roman" w:hAnsi="Times New Roman" w:eastAsia="仿宋_GB2312" w:cs="Times New Roman"/>
      <w:sz w:val="30"/>
    </w:rPr>
  </w:style>
  <w:style w:type="character" w:customStyle="1" w:styleId="165">
    <w:name w:val="l1"/>
    <w:qFormat/>
    <w:uiPriority w:val="0"/>
    <w:rPr>
      <w:rFonts w:ascii="Calibri" w:hAnsi="Calibri" w:eastAsia="宋体" w:cs="Times New Roman"/>
    </w:rPr>
  </w:style>
  <w:style w:type="character" w:customStyle="1" w:styleId="166">
    <w:name w:val="尾注文本 Char2"/>
    <w:qFormat/>
    <w:uiPriority w:val="0"/>
    <w:rPr>
      <w:rFonts w:ascii="Times New Roman" w:hAnsi="Times New Roman" w:eastAsia="宋体" w:cs="Times New Roman"/>
      <w:szCs w:val="20"/>
    </w:rPr>
  </w:style>
  <w:style w:type="character" w:customStyle="1" w:styleId="167">
    <w:name w:val="Char Char28"/>
    <w:qFormat/>
    <w:uiPriority w:val="0"/>
    <w:rPr>
      <w:rFonts w:ascii="Cambria" w:hAnsi="Cambria" w:eastAsia="宋体" w:cs="Times New Roman"/>
      <w:b/>
      <w:bCs/>
      <w:kern w:val="2"/>
      <w:sz w:val="32"/>
      <w:szCs w:val="32"/>
    </w:rPr>
  </w:style>
  <w:style w:type="character" w:customStyle="1" w:styleId="168">
    <w:name w:val="ht1"/>
    <w:qFormat/>
    <w:uiPriority w:val="0"/>
    <w:rPr>
      <w:rFonts w:ascii="黑体" w:hAnsi="Calibri" w:eastAsia="黑体" w:cs="Times New Roman"/>
      <w:b/>
      <w:bCs/>
    </w:rPr>
  </w:style>
  <w:style w:type="character" w:customStyle="1" w:styleId="169">
    <w:name w:val="ca-181"/>
    <w:qFormat/>
    <w:uiPriority w:val="0"/>
    <w:rPr>
      <w:rFonts w:hint="eastAsia" w:ascii="宋体" w:hAnsi="宋体" w:eastAsia="宋体" w:cs="Times New Roman"/>
      <w:sz w:val="21"/>
      <w:szCs w:val="21"/>
    </w:rPr>
  </w:style>
  <w:style w:type="character" w:customStyle="1" w:styleId="170">
    <w:name w:val="页脚 Char"/>
    <w:qFormat/>
    <w:uiPriority w:val="0"/>
    <w:rPr>
      <w:sz w:val="18"/>
      <w:szCs w:val="18"/>
    </w:rPr>
  </w:style>
  <w:style w:type="character" w:customStyle="1" w:styleId="171">
    <w:name w:val="main_tdbg_7601"/>
    <w:qFormat/>
    <w:uiPriority w:val="0"/>
    <w:rPr>
      <w:rFonts w:ascii="Calibri" w:hAnsi="Calibri" w:eastAsia="宋体" w:cs="Times New Roman"/>
      <w:sz w:val="14"/>
      <w:szCs w:val="14"/>
    </w:rPr>
  </w:style>
  <w:style w:type="character" w:customStyle="1" w:styleId="172">
    <w:name w:val="0d1471"/>
    <w:qFormat/>
    <w:uiPriority w:val="0"/>
    <w:rPr>
      <w:rFonts w:ascii="Calibri" w:hAnsi="Calibri" w:eastAsia="宋体" w:cs="Times New Roman"/>
      <w:color w:val="000000"/>
      <w:sz w:val="11"/>
      <w:szCs w:val="11"/>
      <w:u w:val="none"/>
    </w:rPr>
  </w:style>
  <w:style w:type="character" w:customStyle="1" w:styleId="173">
    <w:name w:val="bar_info2"/>
    <w:qFormat/>
    <w:uiPriority w:val="0"/>
    <w:rPr>
      <w:rFonts w:ascii="Times New Roman" w:hAnsi="Times New Roman" w:eastAsia="宋体" w:cs="Times New Roman"/>
    </w:rPr>
  </w:style>
  <w:style w:type="character" w:customStyle="1" w:styleId="174">
    <w:name w:val="defaultfont1"/>
    <w:qFormat/>
    <w:uiPriority w:val="0"/>
    <w:rPr>
      <w:rFonts w:ascii="Calibri" w:hAnsi="Calibri" w:eastAsia="宋体" w:cs="Times New Roman"/>
    </w:rPr>
  </w:style>
  <w:style w:type="character" w:customStyle="1" w:styleId="175">
    <w:name w:val="纯文本 Char"/>
    <w:qFormat/>
    <w:uiPriority w:val="0"/>
    <w:rPr>
      <w:rFonts w:ascii="宋体" w:hAnsi="Courier New"/>
      <w:sz w:val="28"/>
    </w:rPr>
  </w:style>
  <w:style w:type="character" w:customStyle="1" w:styleId="176">
    <w:name w:val="标题 2 Char1"/>
    <w:qFormat/>
    <w:uiPriority w:val="0"/>
    <w:rPr>
      <w:rFonts w:ascii="仿宋_GB2312" w:hAnsi="Times New Roman" w:eastAsia="仿宋_GB2312" w:cs="MingLiU"/>
      <w:b/>
      <w:spacing w:val="1"/>
      <w:w w:val="99"/>
      <w:kern w:val="2"/>
      <w:sz w:val="28"/>
      <w:szCs w:val="32"/>
    </w:rPr>
  </w:style>
  <w:style w:type="character" w:customStyle="1" w:styleId="177">
    <w:name w:val="_Style 173"/>
    <w:qFormat/>
    <w:uiPriority w:val="0"/>
    <w:rPr>
      <w:rFonts w:ascii="Times New Roman" w:hAnsi="Times New Roman" w:eastAsia="宋体" w:cs="Times New Roman"/>
      <w:b/>
      <w:bCs/>
      <w:smallCaps/>
      <w:spacing w:val="5"/>
    </w:rPr>
  </w:style>
  <w:style w:type="character" w:customStyle="1" w:styleId="178">
    <w:name w:val="spanright"/>
    <w:qFormat/>
    <w:uiPriority w:val="0"/>
    <w:rPr>
      <w:rFonts w:ascii="Calibri" w:hAnsi="Calibri" w:eastAsia="宋体" w:cs="Times New Roman"/>
    </w:rPr>
  </w:style>
  <w:style w:type="character" w:customStyle="1" w:styleId="179">
    <w:name w:val="unnamed1"/>
    <w:qFormat/>
    <w:uiPriority w:val="0"/>
    <w:rPr>
      <w:rFonts w:ascii="Calibri" w:hAnsi="Calibri" w:eastAsia="宋体" w:cs="Times New Roman"/>
    </w:rPr>
  </w:style>
  <w:style w:type="character" w:customStyle="1" w:styleId="180">
    <w:name w:val="正文文本缩进 3 Char1"/>
    <w:qFormat/>
    <w:uiPriority w:val="0"/>
    <w:rPr>
      <w:rFonts w:ascii="Times New Roman" w:hAnsi="Times New Roman" w:eastAsia="宋体" w:cs="Times New Roman"/>
      <w:sz w:val="16"/>
      <w:szCs w:val="16"/>
    </w:rPr>
  </w:style>
  <w:style w:type="character" w:customStyle="1" w:styleId="181">
    <w:name w:val="明显引用 Char"/>
    <w:link w:val="182"/>
    <w:qFormat/>
    <w:uiPriority w:val="0"/>
    <w:rPr>
      <w:b/>
      <w:bCs/>
      <w:i/>
      <w:iCs/>
      <w:color w:val="4F81BD"/>
      <w:kern w:val="2"/>
      <w:sz w:val="21"/>
      <w:szCs w:val="22"/>
    </w:rPr>
  </w:style>
  <w:style w:type="paragraph" w:styleId="182">
    <w:name w:val="Intense Quote"/>
    <w:basedOn w:val="1"/>
    <w:next w:val="1"/>
    <w:link w:val="181"/>
    <w:qFormat/>
    <w:uiPriority w:val="0"/>
    <w:pPr>
      <w:pBdr>
        <w:bottom w:val="single" w:color="4F81BD" w:sz="4" w:space="4"/>
      </w:pBdr>
      <w:spacing w:before="200" w:after="280"/>
      <w:ind w:left="936" w:right="936"/>
    </w:pPr>
    <w:rPr>
      <w:b/>
      <w:bCs/>
      <w:i/>
      <w:iCs/>
      <w:color w:val="4F81BD"/>
      <w:szCs w:val="22"/>
    </w:rPr>
  </w:style>
  <w:style w:type="character" w:customStyle="1" w:styleId="183">
    <w:name w:val="批注主题 Char3"/>
    <w:qFormat/>
    <w:uiPriority w:val="0"/>
    <w:rPr>
      <w:rFonts w:ascii="Times New Roman" w:hAnsi="Times New Roman" w:eastAsia="宋体" w:cs="Times New Roman"/>
      <w:b/>
      <w:bCs/>
      <w:kern w:val="2"/>
      <w:sz w:val="21"/>
      <w:szCs w:val="22"/>
    </w:rPr>
  </w:style>
  <w:style w:type="character" w:customStyle="1" w:styleId="184">
    <w:name w:val="ca-151"/>
    <w:qFormat/>
    <w:uiPriority w:val="0"/>
    <w:rPr>
      <w:rFonts w:hint="default" w:ascii="Times New Roman" w:hAnsi="Times New Roman" w:eastAsia="宋体" w:cs="Times New Roman"/>
      <w:sz w:val="21"/>
      <w:szCs w:val="21"/>
    </w:rPr>
  </w:style>
  <w:style w:type="character" w:customStyle="1" w:styleId="185">
    <w:name w:val="intel3"/>
    <w:qFormat/>
    <w:uiPriority w:val="0"/>
    <w:rPr>
      <w:rFonts w:ascii="Calibri" w:hAnsi="Calibri" w:eastAsia="宋体" w:cs="Times New Roman"/>
    </w:rPr>
  </w:style>
  <w:style w:type="character" w:customStyle="1" w:styleId="186">
    <w:name w:val="font161"/>
    <w:qFormat/>
    <w:uiPriority w:val="0"/>
    <w:rPr>
      <w:rFonts w:ascii="Calibri" w:hAnsi="Calibri" w:eastAsia="宋体" w:cs="Times New Roman"/>
      <w:b/>
      <w:bCs/>
      <w:sz w:val="32"/>
      <w:szCs w:val="32"/>
    </w:rPr>
  </w:style>
  <w:style w:type="character" w:customStyle="1" w:styleId="187">
    <w:name w:val="Char Char3"/>
    <w:qFormat/>
    <w:uiPriority w:val="0"/>
    <w:rPr>
      <w:rFonts w:hint="eastAsia" w:ascii="宋体" w:hAnsi="宋体" w:eastAsia="宋体" w:cs="Times New Roman"/>
      <w:kern w:val="2"/>
      <w:sz w:val="18"/>
      <w:szCs w:val="18"/>
      <w:lang w:val="en-US" w:eastAsia="zh-CN" w:bidi="ar-SA"/>
    </w:rPr>
  </w:style>
  <w:style w:type="character" w:customStyle="1" w:styleId="188">
    <w:name w:val="脚注文本 Char1"/>
    <w:qFormat/>
    <w:uiPriority w:val="0"/>
    <w:rPr>
      <w:rFonts w:ascii="Times New Roman" w:hAnsi="Times New Roman" w:eastAsia="宋体" w:cs="Times New Roman"/>
      <w:sz w:val="18"/>
      <w:szCs w:val="18"/>
    </w:rPr>
  </w:style>
  <w:style w:type="character" w:customStyle="1" w:styleId="189">
    <w:name w:val=" Char Char34"/>
    <w:qFormat/>
    <w:uiPriority w:val="0"/>
    <w:rPr>
      <w:rFonts w:ascii="Times New Roman" w:hAnsi="Times New Roman" w:eastAsia="黑体" w:cs="Times New Roman"/>
      <w:kern w:val="2"/>
      <w:sz w:val="44"/>
      <w:lang w:val="en-US" w:eastAsia="zh-CN" w:bidi="ar-SA"/>
    </w:rPr>
  </w:style>
  <w:style w:type="character" w:customStyle="1" w:styleId="190">
    <w:name w:val="normaltext1"/>
    <w:qFormat/>
    <w:uiPriority w:val="0"/>
    <w:rPr>
      <w:rFonts w:hint="default" w:ascii="ˎ̥" w:hAnsi="ˎ̥" w:eastAsia="宋体" w:cs="Times New Roman"/>
      <w:sz w:val="9"/>
      <w:szCs w:val="9"/>
    </w:rPr>
  </w:style>
  <w:style w:type="character" w:customStyle="1" w:styleId="191">
    <w:name w:val="标题 2 Char"/>
    <w:link w:val="4"/>
    <w:qFormat/>
    <w:uiPriority w:val="0"/>
    <w:rPr>
      <w:rFonts w:ascii="仿宋_GB2312" w:eastAsia="仿宋_GB2312"/>
      <w:b/>
      <w:spacing w:val="1"/>
      <w:w w:val="99"/>
      <w:sz w:val="28"/>
    </w:rPr>
  </w:style>
  <w:style w:type="character" w:customStyle="1" w:styleId="192">
    <w:name w:val="正文文本 Char3"/>
    <w:qFormat/>
    <w:uiPriority w:val="0"/>
    <w:rPr>
      <w:rFonts w:ascii="Times New Roman" w:hAnsi="Times New Roman" w:eastAsia="宋体" w:cs="Times New Roman"/>
      <w:kern w:val="2"/>
      <w:sz w:val="21"/>
      <w:szCs w:val="22"/>
    </w:rPr>
  </w:style>
  <w:style w:type="character" w:customStyle="1" w:styleId="193">
    <w:name w:val=" Char Char2"/>
    <w:qFormat/>
    <w:uiPriority w:val="0"/>
    <w:rPr>
      <w:rFonts w:ascii="Times New Roman" w:hAnsi="Times New Roman" w:eastAsia="宋体" w:cs="Times New Roman"/>
      <w:kern w:val="2"/>
      <w:sz w:val="26"/>
    </w:rPr>
  </w:style>
  <w:style w:type="character" w:customStyle="1" w:styleId="194">
    <w:name w:val="Char Char29"/>
    <w:qFormat/>
    <w:uiPriority w:val="0"/>
    <w:rPr>
      <w:rFonts w:ascii="Calibri" w:hAnsi="Calibri" w:eastAsia="宋体" w:cs="Times New Roman"/>
      <w:b/>
      <w:bCs/>
      <w:kern w:val="44"/>
      <w:sz w:val="44"/>
      <w:szCs w:val="44"/>
    </w:rPr>
  </w:style>
  <w:style w:type="character" w:customStyle="1" w:styleId="195">
    <w:name w:val="纯文本 Char1"/>
    <w:qFormat/>
    <w:uiPriority w:val="0"/>
    <w:rPr>
      <w:rFonts w:ascii="宋体" w:hAnsi="Courier New" w:eastAsia="宋体" w:cs="Courier New"/>
      <w:szCs w:val="21"/>
    </w:rPr>
  </w:style>
  <w:style w:type="character" w:customStyle="1" w:styleId="196">
    <w:name w:val=" Char Char10"/>
    <w:qFormat/>
    <w:uiPriority w:val="0"/>
    <w:rPr>
      <w:rFonts w:ascii="仿宋_GB2312" w:hAnsi="Times New Roman" w:eastAsia="仿宋_GB2312" w:cs="Times New Roman"/>
      <w:b/>
      <w:spacing w:val="1"/>
      <w:w w:val="99"/>
      <w:sz w:val="28"/>
    </w:rPr>
  </w:style>
  <w:style w:type="character" w:customStyle="1" w:styleId="197">
    <w:name w:val=" Char Char8"/>
    <w:qFormat/>
    <w:uiPriority w:val="0"/>
    <w:rPr>
      <w:rFonts w:ascii="仿宋_GB2312" w:hAnsi="Times New Roman" w:eastAsia="仿宋_GB2312" w:cs="Times New Roman"/>
      <w:b/>
      <w:sz w:val="24"/>
    </w:rPr>
  </w:style>
  <w:style w:type="character" w:customStyle="1" w:styleId="198">
    <w:name w:val="批注主题 Char"/>
    <w:qFormat/>
    <w:uiPriority w:val="0"/>
    <w:rPr>
      <w:sz w:val="24"/>
    </w:rPr>
  </w:style>
  <w:style w:type="character" w:customStyle="1" w:styleId="199">
    <w:name w:val=" Char Char1"/>
    <w:qFormat/>
    <w:uiPriority w:val="0"/>
    <w:rPr>
      <w:rFonts w:ascii="Times New Roman" w:hAnsi="Times New Roman" w:eastAsia="宋体" w:cs="Times New Roman"/>
      <w:i/>
      <w:kern w:val="2"/>
      <w:sz w:val="26"/>
    </w:rPr>
  </w:style>
  <w:style w:type="character" w:customStyle="1" w:styleId="200">
    <w:name w:val="标题 8 Char1"/>
    <w:qFormat/>
    <w:uiPriority w:val="0"/>
    <w:rPr>
      <w:rFonts w:ascii="Times New Roman" w:hAnsi="Arial" w:eastAsia="仿宋_GB2312" w:cs="Times New Roman"/>
      <w:sz w:val="30"/>
    </w:rPr>
  </w:style>
  <w:style w:type="character" w:customStyle="1" w:styleId="201">
    <w:name w:val="副标题 Char1"/>
    <w:qFormat/>
    <w:uiPriority w:val="0"/>
    <w:rPr>
      <w:rFonts w:ascii="Cambria" w:hAnsi="Cambria" w:eastAsia="宋体" w:cs="Times New Roman"/>
      <w:b/>
      <w:bCs/>
      <w:kern w:val="28"/>
      <w:sz w:val="32"/>
      <w:szCs w:val="32"/>
    </w:rPr>
  </w:style>
  <w:style w:type="character" w:customStyle="1" w:styleId="202">
    <w:name w:val="批注框文本 Char2"/>
    <w:qFormat/>
    <w:uiPriority w:val="0"/>
    <w:rPr>
      <w:rFonts w:ascii="Times New Roman" w:hAnsi="Times New Roman" w:eastAsia="宋体" w:cs="Times New Roman"/>
      <w:kern w:val="2"/>
      <w:sz w:val="18"/>
      <w:szCs w:val="18"/>
    </w:rPr>
  </w:style>
  <w:style w:type="character" w:customStyle="1" w:styleId="203">
    <w:name w:val="Char Char2"/>
    <w:qFormat/>
    <w:uiPriority w:val="0"/>
    <w:rPr>
      <w:rFonts w:hint="eastAsia" w:ascii="宋体" w:hAnsi="宋体" w:eastAsia="宋体" w:cs="Times New Roman"/>
      <w:sz w:val="24"/>
      <w:lang w:val="en-US" w:eastAsia="zh-CN" w:bidi="ar-SA"/>
    </w:rPr>
  </w:style>
  <w:style w:type="character" w:customStyle="1" w:styleId="204">
    <w:name w:val="批注文字 Char Char"/>
    <w:qFormat/>
    <w:uiPriority w:val="0"/>
    <w:rPr>
      <w:rFonts w:ascii="宋体" w:hAnsi="Times New Roman" w:eastAsia="宋体" w:cs="Times New Roman"/>
      <w:sz w:val="28"/>
      <w:szCs w:val="20"/>
    </w:rPr>
  </w:style>
  <w:style w:type="character" w:customStyle="1" w:styleId="205">
    <w:name w:val="标题 1 Char"/>
    <w:qFormat/>
    <w:uiPriority w:val="0"/>
    <w:rPr>
      <w:rFonts w:eastAsia="黑体"/>
      <w:sz w:val="44"/>
    </w:rPr>
  </w:style>
  <w:style w:type="character" w:customStyle="1" w:styleId="206">
    <w:name w:val="ca-51"/>
    <w:qFormat/>
    <w:uiPriority w:val="0"/>
    <w:rPr>
      <w:rFonts w:hint="eastAsia" w:ascii="宋体" w:hAnsi="宋体" w:eastAsia="宋体" w:cs="Times New Roman"/>
      <w:b/>
      <w:bCs/>
      <w:color w:val="000000"/>
      <w:spacing w:val="-20"/>
      <w:sz w:val="16"/>
      <w:szCs w:val="16"/>
    </w:rPr>
  </w:style>
  <w:style w:type="character" w:customStyle="1" w:styleId="207">
    <w:name w:val="Char Char4"/>
    <w:qFormat/>
    <w:uiPriority w:val="0"/>
    <w:rPr>
      <w:rFonts w:ascii="Calibri" w:hAnsi="Calibri" w:eastAsia="宋体" w:cs="Times New Roman"/>
      <w:szCs w:val="24"/>
      <w:u w:val="single"/>
      <w:lang w:eastAsia="en-US"/>
    </w:rPr>
  </w:style>
  <w:style w:type="character" w:customStyle="1" w:styleId="208">
    <w:name w:val=" Char Char9"/>
    <w:qFormat/>
    <w:uiPriority w:val="0"/>
    <w:rPr>
      <w:rFonts w:ascii="仿宋_GB2312" w:hAnsi="Times New Roman" w:eastAsia="仿宋_GB2312" w:cs="Times New Roman"/>
      <w:b/>
      <w:sz w:val="24"/>
    </w:rPr>
  </w:style>
  <w:style w:type="character" w:customStyle="1" w:styleId="209">
    <w:name w:val="文档结构图 Char3"/>
    <w:qFormat/>
    <w:uiPriority w:val="0"/>
    <w:rPr>
      <w:rFonts w:ascii="宋体" w:hAnsi="Times New Roman" w:eastAsia="宋体" w:cs="Times New Roman"/>
      <w:kern w:val="2"/>
      <w:sz w:val="18"/>
      <w:szCs w:val="18"/>
    </w:rPr>
  </w:style>
  <w:style w:type="character" w:customStyle="1" w:styleId="210">
    <w:name w:val="spanleft"/>
    <w:qFormat/>
    <w:uiPriority w:val="0"/>
    <w:rPr>
      <w:rFonts w:ascii="Calibri" w:hAnsi="Calibri" w:eastAsia="宋体" w:cs="Times New Roman"/>
    </w:rPr>
  </w:style>
  <w:style w:type="character" w:customStyle="1" w:styleId="211">
    <w:name w:val="_Style 207"/>
    <w:qFormat/>
    <w:uiPriority w:val="0"/>
    <w:rPr>
      <w:rFonts w:ascii="Times New Roman" w:hAnsi="Times New Roman" w:eastAsia="宋体" w:cs="Times New Roman"/>
      <w:b/>
      <w:bCs/>
      <w:i/>
      <w:iCs/>
      <w:color w:val="4F81BD"/>
    </w:rPr>
  </w:style>
  <w:style w:type="character" w:customStyle="1" w:styleId="212">
    <w:name w:val="批注框文本 Char1"/>
    <w:qFormat/>
    <w:uiPriority w:val="0"/>
    <w:rPr>
      <w:rFonts w:ascii="Times New Roman" w:hAnsi="Times New Roman" w:eastAsia="宋体" w:cs="Times New Roman"/>
      <w:sz w:val="18"/>
      <w:szCs w:val="18"/>
    </w:rPr>
  </w:style>
  <w:style w:type="character" w:customStyle="1" w:styleId="213">
    <w:name w:val="页脚 Char1"/>
    <w:qFormat/>
    <w:uiPriority w:val="0"/>
    <w:rPr>
      <w:rFonts w:ascii="Times New Roman" w:hAnsi="Times New Roman" w:eastAsia="宋体" w:cs="Times New Roman"/>
      <w:kern w:val="2"/>
      <w:sz w:val="18"/>
      <w:szCs w:val="18"/>
      <w:lang w:val="en-US" w:eastAsia="zh-CN" w:bidi="ar-SA"/>
    </w:rPr>
  </w:style>
  <w:style w:type="character" w:customStyle="1" w:styleId="214">
    <w:name w:val=" Char Char17"/>
    <w:qFormat/>
    <w:uiPriority w:val="0"/>
    <w:rPr>
      <w:rFonts w:ascii="Cambria" w:hAnsi="Cambria" w:eastAsia="宋体" w:cs="Times New Roman"/>
      <w:b/>
      <w:bCs/>
      <w:kern w:val="2"/>
      <w:sz w:val="32"/>
      <w:szCs w:val="32"/>
    </w:rPr>
  </w:style>
  <w:style w:type="character" w:customStyle="1" w:styleId="215">
    <w:name w:val="HTML 预设格式 Char1"/>
    <w:qFormat/>
    <w:uiPriority w:val="0"/>
    <w:rPr>
      <w:rFonts w:ascii="Courier New" w:hAnsi="Courier New" w:eastAsia="宋体" w:cs="Courier New"/>
      <w:sz w:val="20"/>
      <w:szCs w:val="20"/>
    </w:rPr>
  </w:style>
  <w:style w:type="character" w:customStyle="1" w:styleId="216">
    <w:name w:val="标题 5 Char1"/>
    <w:qFormat/>
    <w:uiPriority w:val="0"/>
    <w:rPr>
      <w:rFonts w:ascii="宋体" w:hAnsi="宋体" w:eastAsia="宋体" w:cs="宋体"/>
      <w:b/>
      <w:bCs/>
    </w:rPr>
  </w:style>
  <w:style w:type="character" w:customStyle="1" w:styleId="217">
    <w:name w:val=" Char Char7"/>
    <w:qFormat/>
    <w:uiPriority w:val="0"/>
    <w:rPr>
      <w:rFonts w:ascii="Times New Roman" w:hAnsi="Times New Roman" w:eastAsia="宋体" w:cs="Times New Roman"/>
      <w:kern w:val="2"/>
      <w:sz w:val="18"/>
    </w:rPr>
  </w:style>
  <w:style w:type="character" w:customStyle="1" w:styleId="218">
    <w:name w:val="正文文本 2 Char1"/>
    <w:qFormat/>
    <w:uiPriority w:val="0"/>
    <w:rPr>
      <w:rFonts w:ascii="Times New Roman" w:hAnsi="Times New Roman" w:eastAsia="宋体" w:cs="Times New Roman"/>
      <w:szCs w:val="20"/>
    </w:rPr>
  </w:style>
  <w:style w:type="character" w:customStyle="1" w:styleId="219">
    <w:name w:val="标题 1 Char1"/>
    <w:qFormat/>
    <w:uiPriority w:val="0"/>
    <w:rPr>
      <w:rFonts w:ascii="Times New Roman" w:hAnsi="Times New Roman" w:eastAsia="黑体" w:cs="Times New Roman"/>
      <w:kern w:val="2"/>
      <w:sz w:val="44"/>
      <w:szCs w:val="44"/>
    </w:rPr>
  </w:style>
  <w:style w:type="character" w:customStyle="1" w:styleId="220">
    <w:name w:val="批注文字 Char1"/>
    <w:qFormat/>
    <w:uiPriority w:val="0"/>
    <w:rPr>
      <w:rFonts w:ascii="Times New Roman" w:hAnsi="Times New Roman" w:eastAsia="宋体" w:cs="Times New Roman"/>
      <w:szCs w:val="20"/>
    </w:rPr>
  </w:style>
  <w:style w:type="character" w:customStyle="1" w:styleId="221">
    <w:name w:val="正文文本 2 Char"/>
    <w:qFormat/>
    <w:uiPriority w:val="0"/>
    <w:rPr>
      <w:i/>
      <w:sz w:val="26"/>
    </w:rPr>
  </w:style>
  <w:style w:type="character" w:customStyle="1" w:styleId="222">
    <w:name w:val="批注主题 Char Char"/>
    <w:qFormat/>
    <w:uiPriority w:val="0"/>
    <w:rPr>
      <w:rFonts w:ascii="Times New Roman" w:hAnsi="Times New Roman" w:eastAsia="宋体" w:cs="Times New Roman"/>
      <w:sz w:val="24"/>
    </w:rPr>
  </w:style>
  <w:style w:type="character" w:customStyle="1" w:styleId="223">
    <w:name w:val=" Char Char Char"/>
    <w:qFormat/>
    <w:uiPriority w:val="0"/>
    <w:rPr>
      <w:rFonts w:ascii="Times New Roman" w:hAnsi="Times New Roman" w:eastAsia="宋体" w:cs="Times New Roman"/>
      <w:kern w:val="2"/>
      <w:sz w:val="18"/>
    </w:rPr>
  </w:style>
  <w:style w:type="character" w:customStyle="1" w:styleId="224">
    <w:name w:val="标题 6 Char1"/>
    <w:qFormat/>
    <w:uiPriority w:val="0"/>
    <w:rPr>
      <w:rFonts w:ascii="Times New Roman" w:hAnsi="Arial" w:eastAsia="仿宋_GB2312" w:cs="Times New Roman"/>
      <w:sz w:val="30"/>
    </w:rPr>
  </w:style>
  <w:style w:type="character" w:customStyle="1" w:styleId="225">
    <w:name w:val="正文文本 3 Char1"/>
    <w:qFormat/>
    <w:uiPriority w:val="0"/>
    <w:rPr>
      <w:rFonts w:ascii="Times New Roman" w:hAnsi="Times New Roman" w:eastAsia="宋体" w:cs="Times New Roman"/>
      <w:sz w:val="16"/>
      <w:szCs w:val="16"/>
    </w:rPr>
  </w:style>
  <w:style w:type="character" w:customStyle="1" w:styleId="226">
    <w:name w:val="批注主题 Char1"/>
    <w:qFormat/>
    <w:uiPriority w:val="0"/>
    <w:rPr>
      <w:rFonts w:ascii="Times New Roman" w:hAnsi="Times New Roman" w:eastAsia="宋体" w:cs="Times New Roman"/>
      <w:b/>
      <w:bCs/>
      <w:szCs w:val="20"/>
    </w:rPr>
  </w:style>
  <w:style w:type="character" w:customStyle="1" w:styleId="227">
    <w:name w:val=" Char Char11"/>
    <w:qFormat/>
    <w:uiPriority w:val="0"/>
    <w:rPr>
      <w:rFonts w:ascii="Times New Roman" w:hAnsi="Times New Roman" w:eastAsia="黑体" w:cs="Times New Roman"/>
      <w:kern w:val="2"/>
      <w:sz w:val="44"/>
      <w:lang w:val="en-US" w:eastAsia="zh-CN"/>
    </w:rPr>
  </w:style>
  <w:style w:type="character" w:customStyle="1" w:styleId="228">
    <w:name w:val="标题 Char2"/>
    <w:qFormat/>
    <w:uiPriority w:val="0"/>
    <w:rPr>
      <w:rFonts w:ascii="Cambria" w:hAnsi="Cambria" w:eastAsia="宋体" w:cs="Times New Roman"/>
      <w:b/>
      <w:bCs/>
      <w:sz w:val="32"/>
      <w:szCs w:val="32"/>
    </w:rPr>
  </w:style>
  <w:style w:type="character" w:customStyle="1" w:styleId="229">
    <w:name w:val="Char Char1"/>
    <w:qFormat/>
    <w:uiPriority w:val="0"/>
    <w:rPr>
      <w:rFonts w:hint="eastAsia" w:ascii="宋体" w:hAnsi="宋体" w:eastAsia="宋体" w:cs="Times New Roman"/>
      <w:kern w:val="2"/>
      <w:sz w:val="18"/>
      <w:szCs w:val="18"/>
      <w:lang w:val="en-US" w:eastAsia="zh-CN" w:bidi="ar-SA"/>
    </w:rPr>
  </w:style>
  <w:style w:type="character" w:customStyle="1" w:styleId="230">
    <w:name w:val="ca-610"/>
    <w:qFormat/>
    <w:uiPriority w:val="0"/>
    <w:rPr>
      <w:rFonts w:hint="eastAsia" w:ascii="宋体" w:hAnsi="宋体" w:eastAsia="宋体" w:cs="Times New Roman"/>
      <w:sz w:val="21"/>
      <w:szCs w:val="21"/>
    </w:rPr>
  </w:style>
  <w:style w:type="character" w:customStyle="1" w:styleId="231">
    <w:name w:val="正文首行缩进 2 Char1"/>
    <w:qFormat/>
    <w:uiPriority w:val="0"/>
    <w:rPr>
      <w:rFonts w:ascii="Times New Roman" w:hAnsi="Times New Roman" w:eastAsia="宋体" w:cs="Times New Roman"/>
      <w:szCs w:val="20"/>
    </w:rPr>
  </w:style>
  <w:style w:type="character" w:customStyle="1" w:styleId="232">
    <w:name w:val="正文文本 Char"/>
    <w:qFormat/>
    <w:uiPriority w:val="0"/>
    <w:rPr>
      <w:sz w:val="26"/>
    </w:rPr>
  </w:style>
  <w:style w:type="character" w:customStyle="1" w:styleId="233">
    <w:name w:val="textcontents"/>
    <w:qFormat/>
    <w:uiPriority w:val="0"/>
    <w:rPr>
      <w:rFonts w:ascii="Times New Roman" w:hAnsi="Times New Roman" w:eastAsia="宋体" w:cs="Times New Roman"/>
    </w:rPr>
  </w:style>
  <w:style w:type="character" w:customStyle="1" w:styleId="234">
    <w:name w:val="正文文本缩进 3 Char2"/>
    <w:qFormat/>
    <w:uiPriority w:val="0"/>
    <w:rPr>
      <w:rFonts w:ascii="Times New Roman" w:hAnsi="Times New Roman" w:eastAsia="宋体" w:cs="Times New Roman"/>
      <w:kern w:val="2"/>
      <w:sz w:val="16"/>
      <w:szCs w:val="16"/>
    </w:rPr>
  </w:style>
  <w:style w:type="character" w:customStyle="1" w:styleId="235">
    <w:name w:val="ss16"/>
    <w:qFormat/>
    <w:uiPriority w:val="0"/>
    <w:rPr>
      <w:rFonts w:hint="eastAsia" w:ascii="宋体" w:hAnsi="宋体" w:eastAsia="宋体" w:cs="Times New Roman"/>
      <w:color w:val="000000"/>
      <w:sz w:val="9"/>
      <w:szCs w:val="9"/>
    </w:rPr>
  </w:style>
  <w:style w:type="character" w:customStyle="1" w:styleId="236">
    <w:name w:val="尾注文本 Char"/>
    <w:qFormat/>
    <w:uiPriority w:val="0"/>
    <w:rPr>
      <w:rFonts w:ascii="Times New Roman" w:hAnsi="Times New Roman" w:eastAsia="宋体" w:cs="Times New Roman"/>
      <w:kern w:val="2"/>
      <w:sz w:val="21"/>
    </w:rPr>
  </w:style>
  <w:style w:type="character" w:customStyle="1" w:styleId="237">
    <w:name w:val="正文文本缩进 Char1"/>
    <w:qFormat/>
    <w:uiPriority w:val="0"/>
    <w:rPr>
      <w:rFonts w:ascii="Times New Roman" w:hAnsi="Times New Roman" w:eastAsia="宋体" w:cs="Times New Roman"/>
      <w:szCs w:val="20"/>
    </w:rPr>
  </w:style>
  <w:style w:type="character" w:customStyle="1" w:styleId="238">
    <w:name w:val="批注主题 Char2"/>
    <w:qFormat/>
    <w:uiPriority w:val="0"/>
    <w:rPr>
      <w:rFonts w:ascii="Times New Roman" w:hAnsi="Times New Roman" w:eastAsia="宋体" w:cs="Times New Roman"/>
      <w:b/>
      <w:bCs/>
      <w:sz w:val="21"/>
    </w:rPr>
  </w:style>
  <w:style w:type="character" w:customStyle="1" w:styleId="239">
    <w:name w:val="页眉 Char1"/>
    <w:qFormat/>
    <w:uiPriority w:val="0"/>
    <w:rPr>
      <w:rFonts w:ascii="Times New Roman" w:hAnsi="Times New Roman" w:eastAsia="宋体" w:cs="Times New Roman"/>
      <w:kern w:val="2"/>
      <w:sz w:val="18"/>
      <w:szCs w:val="18"/>
      <w:lang w:val="en-US" w:eastAsia="zh-CN" w:bidi="ar-SA"/>
    </w:rPr>
  </w:style>
  <w:style w:type="character" w:customStyle="1" w:styleId="240">
    <w:name w:val="引用 Char2"/>
    <w:qFormat/>
    <w:uiPriority w:val="0"/>
    <w:rPr>
      <w:rFonts w:ascii="Times New Roman" w:hAnsi="Times New Roman" w:eastAsia="宋体" w:cs="Times New Roman"/>
      <w:i/>
      <w:iCs/>
      <w:color w:val="000000"/>
      <w:kern w:val="2"/>
      <w:sz w:val="21"/>
    </w:rPr>
  </w:style>
  <w:style w:type="character" w:customStyle="1" w:styleId="241">
    <w:name w:val=" Char Char3"/>
    <w:qFormat/>
    <w:uiPriority w:val="0"/>
    <w:rPr>
      <w:rFonts w:ascii="Times New Roman" w:hAnsi="Times New Roman" w:eastAsia="宋体" w:cs="Times New Roman"/>
      <w:kern w:val="2"/>
      <w:sz w:val="18"/>
    </w:rPr>
  </w:style>
  <w:style w:type="character" w:customStyle="1" w:styleId="242">
    <w:name w:val="正文文本 Char1"/>
    <w:qFormat/>
    <w:uiPriority w:val="0"/>
    <w:rPr>
      <w:rFonts w:ascii="Times New Roman" w:hAnsi="Times New Roman" w:eastAsia="宋体" w:cs="Times New Roman"/>
      <w:szCs w:val="20"/>
    </w:rPr>
  </w:style>
  <w:style w:type="character" w:customStyle="1" w:styleId="243">
    <w:name w:val="title11"/>
    <w:qFormat/>
    <w:uiPriority w:val="0"/>
    <w:rPr>
      <w:rFonts w:ascii="Calibri" w:hAnsi="Calibri" w:eastAsia="宋体" w:cs="Times New Roman"/>
      <w:b/>
      <w:bCs/>
      <w:color w:val="FFFFFF"/>
      <w:sz w:val="11"/>
      <w:szCs w:val="11"/>
    </w:rPr>
  </w:style>
  <w:style w:type="character" w:customStyle="1" w:styleId="244">
    <w:name w:val="文档结构图 Char2"/>
    <w:qFormat/>
    <w:uiPriority w:val="0"/>
    <w:rPr>
      <w:rFonts w:ascii="Times New Roman" w:hAnsi="Times New Roman" w:eastAsia="宋体" w:cs="Times New Roman"/>
      <w:kern w:val="2"/>
      <w:sz w:val="21"/>
      <w:szCs w:val="24"/>
      <w:shd w:val="clear" w:color="auto" w:fill="000080"/>
    </w:rPr>
  </w:style>
  <w:style w:type="character" w:customStyle="1" w:styleId="245">
    <w:name w:val="16"/>
    <w:qFormat/>
    <w:uiPriority w:val="0"/>
    <w:rPr>
      <w:rFonts w:hint="default" w:ascii="Tahoma" w:hAnsi="Tahoma" w:eastAsia="宋体" w:cs="Tahoma"/>
      <w:color w:val="0000FF"/>
      <w:sz w:val="24"/>
      <w:szCs w:val="24"/>
      <w:u w:val="single"/>
    </w:rPr>
  </w:style>
  <w:style w:type="character" w:customStyle="1" w:styleId="246">
    <w:name w:val="明显引用 Char1"/>
    <w:qFormat/>
    <w:uiPriority w:val="0"/>
    <w:rPr>
      <w:rFonts w:ascii="Times New Roman" w:hAnsi="Times New Roman" w:eastAsia="宋体" w:cs="Times New Roman"/>
      <w:b/>
      <w:bCs/>
      <w:i/>
      <w:iCs/>
      <w:color w:val="4F81BD"/>
      <w:kern w:val="2"/>
      <w:sz w:val="21"/>
      <w:szCs w:val="22"/>
    </w:rPr>
  </w:style>
  <w:style w:type="character" w:customStyle="1" w:styleId="247">
    <w:name w:val="style21"/>
    <w:qFormat/>
    <w:uiPriority w:val="0"/>
    <w:rPr>
      <w:rFonts w:ascii="Calibri" w:hAnsi="Calibri" w:eastAsia="宋体" w:cs="Times New Roman"/>
      <w:b/>
      <w:bCs/>
      <w:sz w:val="28"/>
      <w:szCs w:val="28"/>
    </w:rPr>
  </w:style>
  <w:style w:type="character" w:customStyle="1" w:styleId="248">
    <w:name w:val="批注文字 Char"/>
    <w:qFormat/>
    <w:uiPriority w:val="0"/>
    <w:rPr>
      <w:rFonts w:ascii="Times New Roman" w:hAnsi="Times New Roman" w:eastAsia="宋体" w:cs="Times New Roman"/>
      <w:kern w:val="2"/>
      <w:sz w:val="21"/>
    </w:rPr>
  </w:style>
  <w:style w:type="character" w:customStyle="1" w:styleId="249">
    <w:name w:val="标题 9 Char1"/>
    <w:qFormat/>
    <w:uiPriority w:val="0"/>
    <w:rPr>
      <w:rFonts w:ascii="Times New Roman" w:hAnsi="Times New Roman" w:eastAsia="仿宋_GB2312" w:cs="Times New Roman"/>
      <w:sz w:val="30"/>
    </w:rPr>
  </w:style>
  <w:style w:type="character" w:customStyle="1" w:styleId="250">
    <w:name w:val="引用 Char"/>
    <w:link w:val="251"/>
    <w:qFormat/>
    <w:uiPriority w:val="0"/>
    <w:rPr>
      <w:i/>
      <w:iCs/>
      <w:color w:val="000000"/>
      <w:kern w:val="2"/>
      <w:sz w:val="21"/>
      <w:szCs w:val="22"/>
    </w:rPr>
  </w:style>
  <w:style w:type="paragraph" w:styleId="251">
    <w:name w:val="Quote"/>
    <w:basedOn w:val="1"/>
    <w:next w:val="1"/>
    <w:link w:val="250"/>
    <w:qFormat/>
    <w:uiPriority w:val="0"/>
    <w:rPr>
      <w:i/>
      <w:iCs/>
      <w:color w:val="000000"/>
      <w:szCs w:val="22"/>
    </w:rPr>
  </w:style>
  <w:style w:type="character" w:customStyle="1" w:styleId="252">
    <w:name w:val="批注框文本 Char"/>
    <w:qFormat/>
    <w:uiPriority w:val="0"/>
    <w:rPr>
      <w:sz w:val="18"/>
    </w:rPr>
  </w:style>
  <w:style w:type="character" w:customStyle="1" w:styleId="253">
    <w:name w:val="样式 Char Char"/>
    <w:qFormat/>
    <w:uiPriority w:val="0"/>
    <w:rPr>
      <w:rFonts w:ascii="宋体" w:hAnsi="宋体" w:eastAsia="宋体" w:cs="Times New Roman"/>
      <w:sz w:val="24"/>
      <w:lang w:val="en-US" w:eastAsia="zh-CN"/>
    </w:rPr>
  </w:style>
  <w:style w:type="character" w:customStyle="1" w:styleId="254">
    <w:name w:val="引用 Char1"/>
    <w:qFormat/>
    <w:uiPriority w:val="0"/>
    <w:rPr>
      <w:rFonts w:ascii="Times New Roman" w:hAnsi="Times New Roman" w:eastAsia="宋体" w:cs="Times New Roman"/>
      <w:i/>
      <w:iCs/>
      <w:color w:val="000000"/>
      <w:kern w:val="2"/>
      <w:sz w:val="21"/>
      <w:szCs w:val="22"/>
    </w:rPr>
  </w:style>
  <w:style w:type="character" w:customStyle="1" w:styleId="255">
    <w:name w:val="docpro"/>
    <w:qFormat/>
    <w:uiPriority w:val="0"/>
    <w:rPr>
      <w:rFonts w:ascii="Calibri" w:hAnsi="Calibri" w:eastAsia="宋体" w:cs="Times New Roman"/>
    </w:rPr>
  </w:style>
  <w:style w:type="character" w:customStyle="1" w:styleId="256">
    <w:name w:val="_Style 252"/>
    <w:qFormat/>
    <w:uiPriority w:val="0"/>
    <w:rPr>
      <w:rFonts w:ascii="Times New Roman" w:hAnsi="Times New Roman" w:eastAsia="宋体" w:cs="Times New Roman"/>
      <w:smallCaps/>
      <w:color w:val="C0504D"/>
      <w:u w:val="single"/>
    </w:rPr>
  </w:style>
  <w:style w:type="character" w:customStyle="1" w:styleId="257">
    <w:name w:val="标题 4 Char1"/>
    <w:qFormat/>
    <w:uiPriority w:val="0"/>
    <w:rPr>
      <w:rFonts w:ascii="仿宋_GB2312" w:hAnsi="Times New Roman" w:eastAsia="仿宋_GB2312" w:cs="MingLiU"/>
      <w:b/>
      <w:kern w:val="2"/>
      <w:sz w:val="24"/>
      <w:szCs w:val="28"/>
    </w:rPr>
  </w:style>
  <w:style w:type="character" w:customStyle="1" w:styleId="258">
    <w:name w:val="文档结构图 Char"/>
    <w:qFormat/>
    <w:uiPriority w:val="0"/>
    <w:rPr>
      <w:shd w:val="clear" w:color="auto" w:fill="000080"/>
    </w:rPr>
  </w:style>
  <w:style w:type="character" w:customStyle="1" w:styleId="259">
    <w:name w:val="ca-141"/>
    <w:qFormat/>
    <w:uiPriority w:val="0"/>
    <w:rPr>
      <w:rFonts w:hint="eastAsia" w:ascii="仿宋_GB2312" w:hAnsi="Times New Roman" w:eastAsia="仿宋_GB2312" w:cs="Times New Roman"/>
      <w:sz w:val="21"/>
      <w:szCs w:val="21"/>
    </w:rPr>
  </w:style>
  <w:style w:type="character" w:customStyle="1" w:styleId="260">
    <w:name w:val="批注文字 Char2"/>
    <w:qFormat/>
    <w:uiPriority w:val="0"/>
    <w:rPr>
      <w:rFonts w:ascii="Times New Roman" w:hAnsi="Times New Roman" w:eastAsia="宋体" w:cs="Times New Roman"/>
      <w:kern w:val="2"/>
      <w:sz w:val="21"/>
      <w:szCs w:val="22"/>
    </w:rPr>
  </w:style>
  <w:style w:type="character" w:customStyle="1" w:styleId="261">
    <w:name w:val="14t1"/>
    <w:qFormat/>
    <w:uiPriority w:val="0"/>
    <w:rPr>
      <w:rFonts w:hint="eastAsia" w:ascii="宋体" w:hAnsi="宋体" w:eastAsia="宋体" w:cs="Times New Roman"/>
      <w:sz w:val="11"/>
      <w:szCs w:val="11"/>
    </w:rPr>
  </w:style>
  <w:style w:type="character" w:customStyle="1" w:styleId="262">
    <w:name w:val="标题5 Char Char"/>
    <w:link w:val="263"/>
    <w:qFormat/>
    <w:uiPriority w:val="0"/>
    <w:rPr>
      <w:rFonts w:ascii="Arial" w:hAnsi="Arial"/>
      <w:b/>
      <w:bCs/>
      <w:sz w:val="24"/>
      <w:szCs w:val="32"/>
    </w:rPr>
  </w:style>
  <w:style w:type="paragraph" w:customStyle="1" w:styleId="263">
    <w:name w:val="标题5"/>
    <w:basedOn w:val="5"/>
    <w:link w:val="262"/>
    <w:qFormat/>
    <w:uiPriority w:val="0"/>
    <w:pPr>
      <w:keepNext/>
      <w:keepLines/>
      <w:autoSpaceDE/>
      <w:autoSpaceDN/>
      <w:adjustRightInd/>
      <w:spacing w:before="260" w:after="260" w:line="413" w:lineRule="auto"/>
      <w:jc w:val="both"/>
    </w:pPr>
    <w:rPr>
      <w:rFonts w:ascii="Arial" w:hAnsi="Arial" w:eastAsia="宋体" w:cs="Times New Roman"/>
      <w:bCs/>
      <w:szCs w:val="32"/>
    </w:rPr>
  </w:style>
  <w:style w:type="paragraph" w:customStyle="1" w:styleId="264">
    <w:name w:val="默认段落字体 Para Char Char Char Char"/>
    <w:basedOn w:val="1"/>
    <w:qFormat/>
    <w:uiPriority w:val="0"/>
    <w:rPr>
      <w:szCs w:val="21"/>
    </w:rPr>
  </w:style>
  <w:style w:type="paragraph" w:customStyle="1" w:styleId="265">
    <w:name w:val="Char Char Char Char Char Char Char Char Char Char Char Char Char Char Char Char"/>
    <w:basedOn w:val="17"/>
    <w:qFormat/>
    <w:uiPriority w:val="0"/>
    <w:pPr>
      <w:shd w:val="clear" w:color="auto" w:fill="000080"/>
      <w:spacing w:line="360" w:lineRule="auto"/>
      <w:ind w:firstLine="200" w:firstLineChars="200"/>
    </w:pPr>
    <w:rPr>
      <w:rFonts w:ascii="Times New Roman"/>
      <w:kern w:val="0"/>
      <w:sz w:val="20"/>
      <w:szCs w:val="24"/>
      <w:shd w:val="clear" w:color="auto" w:fill="000080"/>
    </w:rPr>
  </w:style>
  <w:style w:type="paragraph" w:customStyle="1" w:styleId="266">
    <w:name w:val="rr"/>
    <w:basedOn w:val="1"/>
    <w:qFormat/>
    <w:uiPriority w:val="0"/>
    <w:pPr>
      <w:widowControl/>
      <w:spacing w:before="100" w:beforeAutospacing="1" w:after="100" w:afterAutospacing="1"/>
      <w:jc w:val="left"/>
    </w:pPr>
    <w:rPr>
      <w:rFonts w:hint="eastAsia" w:ascii="宋体" w:hAnsi="宋体"/>
      <w:kern w:val="0"/>
      <w:szCs w:val="21"/>
    </w:rPr>
  </w:style>
  <w:style w:type="character" w:customStyle="1" w:styleId="267">
    <w:name w:val="正文文本缩进 3 字符"/>
    <w:semiHidden/>
    <w:qFormat/>
    <w:uiPriority w:val="99"/>
    <w:rPr>
      <w:kern w:val="2"/>
      <w:sz w:val="16"/>
      <w:szCs w:val="16"/>
    </w:rPr>
  </w:style>
  <w:style w:type="paragraph" w:customStyle="1" w:styleId="268">
    <w:name w:val=" Char Char16 Char Char Char Char"/>
    <w:basedOn w:val="1"/>
    <w:qFormat/>
    <w:uiPriority w:val="0"/>
  </w:style>
  <w:style w:type="paragraph" w:customStyle="1" w:styleId="269">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0">
    <w:name w:val="自定样式1"/>
    <w:basedOn w:val="1"/>
    <w:qFormat/>
    <w:uiPriority w:val="0"/>
    <w:pPr>
      <w:suppressAutoHyphens/>
      <w:jc w:val="center"/>
    </w:pPr>
    <w:rPr>
      <w:rFonts w:ascii="宋体" w:hAnsi="宋体"/>
      <w:color w:val="000000"/>
      <w:sz w:val="18"/>
    </w:rPr>
  </w:style>
  <w:style w:type="paragraph" w:styleId="271">
    <w:name w:val="List Paragraph"/>
    <w:basedOn w:val="1"/>
    <w:qFormat/>
    <w:uiPriority w:val="0"/>
    <w:pPr>
      <w:ind w:firstLine="420" w:firstLineChars="200"/>
    </w:pPr>
    <w:rPr>
      <w:sz w:val="28"/>
      <w:szCs w:val="20"/>
    </w:rPr>
  </w:style>
  <w:style w:type="paragraph" w:customStyle="1" w:styleId="272">
    <w:name w:val=" Char Char30 Char Char Char Char"/>
    <w:basedOn w:val="1"/>
    <w:qFormat/>
    <w:uiPriority w:val="0"/>
  </w:style>
  <w:style w:type="paragraph" w:customStyle="1" w:styleId="273">
    <w:name w:val="目录文字"/>
    <w:basedOn w:val="1"/>
    <w:qFormat/>
    <w:uiPriority w:val="0"/>
    <w:pPr>
      <w:widowControl/>
      <w:spacing w:line="480" w:lineRule="auto"/>
      <w:jc w:val="left"/>
    </w:pPr>
    <w:rPr>
      <w:rFonts w:ascii="宋体" w:hAnsi="宋体"/>
      <w:kern w:val="0"/>
      <w:sz w:val="24"/>
      <w:szCs w:val="20"/>
    </w:rPr>
  </w:style>
  <w:style w:type="paragraph" w:customStyle="1" w:styleId="27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5">
    <w:name w:val="表格内容"/>
    <w:basedOn w:val="1"/>
    <w:qFormat/>
    <w:uiPriority w:val="0"/>
    <w:pPr>
      <w:suppressLineNumbers/>
      <w:suppressAutoHyphens/>
    </w:pPr>
    <w:rPr>
      <w:rFonts w:ascii="Calibri" w:hAnsi="Calibri"/>
    </w:rPr>
  </w:style>
  <w:style w:type="paragraph" w:customStyle="1" w:styleId="276">
    <w:name w:val=" Char9"/>
    <w:basedOn w:val="17"/>
    <w:qFormat/>
    <w:uiPriority w:val="0"/>
    <w:pPr>
      <w:shd w:val="clear" w:color="auto" w:fill="000080"/>
      <w:spacing w:line="360" w:lineRule="auto"/>
      <w:ind w:firstLine="200" w:firstLineChars="200"/>
    </w:pPr>
    <w:rPr>
      <w:rFonts w:ascii="Times New Roman"/>
      <w:kern w:val="0"/>
      <w:sz w:val="20"/>
      <w:szCs w:val="20"/>
    </w:rPr>
  </w:style>
  <w:style w:type="character" w:customStyle="1" w:styleId="277">
    <w:name w:val="尾注文本 字符"/>
    <w:semiHidden/>
    <w:qFormat/>
    <w:uiPriority w:val="99"/>
    <w:rPr>
      <w:kern w:val="2"/>
      <w:sz w:val="21"/>
      <w:szCs w:val="24"/>
    </w:rPr>
  </w:style>
  <w:style w:type="paragraph" w:customStyle="1" w:styleId="278">
    <w:name w:val="pa-34"/>
    <w:qFormat/>
    <w:uiPriority w:val="0"/>
    <w:pPr>
      <w:spacing w:line="360" w:lineRule="atLeast"/>
      <w:ind w:firstLine="420"/>
    </w:pPr>
    <w:rPr>
      <w:rFonts w:ascii="宋体" w:hAnsi="宋体" w:eastAsia="宋体" w:cs="Times New Roman"/>
      <w:sz w:val="24"/>
      <w:lang w:val="en-US" w:eastAsia="zh-CN" w:bidi="ar-SA"/>
    </w:rPr>
  </w:style>
  <w:style w:type="paragraph" w:customStyle="1" w:styleId="27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character" w:customStyle="1" w:styleId="280">
    <w:name w:val="正文文本 3 字符"/>
    <w:semiHidden/>
    <w:qFormat/>
    <w:uiPriority w:val="99"/>
    <w:rPr>
      <w:rFonts w:ascii="Times New Roman" w:hAnsi="Times New Roman" w:eastAsia="宋体" w:cs="Times New Roman"/>
      <w:kern w:val="2"/>
      <w:sz w:val="16"/>
      <w:szCs w:val="16"/>
    </w:rPr>
  </w:style>
  <w:style w:type="paragraph" w:customStyle="1" w:styleId="281">
    <w:name w:val=" Char Char Char Char Char Char Char"/>
    <w:basedOn w:val="1"/>
    <w:qFormat/>
    <w:uiPriority w:val="0"/>
  </w:style>
  <w:style w:type="paragraph" w:customStyle="1" w:styleId="282">
    <w:name w:val="样式3"/>
    <w:basedOn w:val="5"/>
    <w:qFormat/>
    <w:uiPriority w:val="0"/>
    <w:pPr>
      <w:keepNext/>
      <w:keepLines/>
      <w:spacing w:before="0" w:line="360" w:lineRule="auto"/>
      <w:ind w:left="119" w:right="-23"/>
    </w:pPr>
    <w:rPr>
      <w:rFonts w:ascii="宋体" w:hAnsi="宋体" w:eastAsia="宋体" w:cs="Times New Roman"/>
      <w:bCs/>
      <w:szCs w:val="32"/>
    </w:rPr>
  </w:style>
  <w:style w:type="paragraph" w:customStyle="1" w:styleId="283">
    <w:name w:val="正文小标题"/>
    <w:basedOn w:val="1"/>
    <w:qFormat/>
    <w:uiPriority w:val="0"/>
    <w:pPr>
      <w:tabs>
        <w:tab w:val="left" w:pos="1140"/>
      </w:tabs>
      <w:overflowPunct w:val="0"/>
      <w:autoSpaceDE w:val="0"/>
      <w:autoSpaceDN w:val="0"/>
      <w:adjustRightInd w:val="0"/>
      <w:spacing w:line="360" w:lineRule="auto"/>
      <w:ind w:left="1140" w:hanging="720"/>
    </w:pPr>
    <w:rPr>
      <w:rFonts w:ascii="仿宋_GB2312" w:hAnsi="Arial"/>
      <w:kern w:val="0"/>
      <w:sz w:val="24"/>
      <w:szCs w:val="20"/>
    </w:rPr>
  </w:style>
  <w:style w:type="paragraph" w:customStyle="1" w:styleId="284">
    <w:name w:val="6'"/>
    <w:basedOn w:val="1"/>
    <w:qFormat/>
    <w:uiPriority w:val="0"/>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285">
    <w:name w:val="表格"/>
    <w:basedOn w:val="1"/>
    <w:qFormat/>
    <w:uiPriority w:val="0"/>
    <w:pPr>
      <w:jc w:val="center"/>
      <w:textAlignment w:val="center"/>
    </w:pPr>
    <w:rPr>
      <w:rFonts w:ascii="华文细黑" w:hAnsi="华文细黑"/>
      <w:kern w:val="0"/>
      <w:szCs w:val="20"/>
    </w:rPr>
  </w:style>
  <w:style w:type="paragraph" w:customStyle="1" w:styleId="28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character" w:customStyle="1" w:styleId="287">
    <w:name w:val="正文文本缩进 2 字符"/>
    <w:semiHidden/>
    <w:qFormat/>
    <w:uiPriority w:val="99"/>
    <w:rPr>
      <w:rFonts w:ascii="Times New Roman" w:hAnsi="Times New Roman" w:eastAsia="宋体" w:cs="Times New Roman"/>
      <w:kern w:val="2"/>
      <w:sz w:val="21"/>
    </w:rPr>
  </w:style>
  <w:style w:type="paragraph" w:customStyle="1" w:styleId="288">
    <w:name w:val=" Char Char Char Char"/>
    <w:basedOn w:val="17"/>
    <w:qFormat/>
    <w:uiPriority w:val="0"/>
    <w:pPr>
      <w:shd w:val="clear" w:color="auto" w:fill="000080"/>
      <w:spacing w:line="360" w:lineRule="auto"/>
      <w:ind w:firstLine="200" w:firstLineChars="200"/>
    </w:pPr>
    <w:rPr>
      <w:rFonts w:ascii="Times New Roman"/>
      <w:kern w:val="0"/>
      <w:sz w:val="20"/>
      <w:szCs w:val="20"/>
    </w:rPr>
  </w:style>
  <w:style w:type="paragraph" w:customStyle="1" w:styleId="289">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290">
    <w:name w:val="样式 标题 2 + Times New Roman 四号 非加粗 段前: 5 磅 段后: 0 磅 行距: 固定值 20..."/>
    <w:basedOn w:val="4"/>
    <w:qFormat/>
    <w:uiPriority w:val="0"/>
    <w:pPr>
      <w:keepNext/>
      <w:keepLines/>
      <w:autoSpaceDE/>
      <w:autoSpaceDN/>
      <w:adjustRightInd/>
      <w:snapToGrid/>
      <w:spacing w:before="100" w:line="400" w:lineRule="exact"/>
      <w:jc w:val="both"/>
    </w:pPr>
    <w:rPr>
      <w:rFonts w:ascii="Times New Roman" w:eastAsia="黑体" w:cs="宋体"/>
      <w:b w:val="0"/>
      <w:spacing w:val="0"/>
      <w:w w:val="100"/>
      <w:szCs w:val="20"/>
    </w:rPr>
  </w:style>
  <w:style w:type="character" w:customStyle="1" w:styleId="291">
    <w:name w:val="正文文本缩进 字符"/>
    <w:semiHidden/>
    <w:qFormat/>
    <w:uiPriority w:val="99"/>
    <w:rPr>
      <w:kern w:val="2"/>
      <w:sz w:val="21"/>
      <w:szCs w:val="24"/>
    </w:rPr>
  </w:style>
  <w:style w:type="paragraph" w:customStyle="1" w:styleId="292">
    <w:name w:val="g3"/>
    <w:basedOn w:val="1"/>
    <w:qFormat/>
    <w:uiPriority w:val="0"/>
    <w:pPr>
      <w:widowControl/>
      <w:spacing w:before="100" w:beforeAutospacing="1" w:after="100" w:afterAutospacing="1"/>
      <w:jc w:val="left"/>
    </w:pPr>
    <w:rPr>
      <w:rFonts w:ascii="宋体" w:hAnsi="宋体" w:cs="宋体"/>
      <w:kern w:val="0"/>
      <w:sz w:val="24"/>
    </w:rPr>
  </w:style>
  <w:style w:type="character" w:customStyle="1" w:styleId="293">
    <w:name w:val="HTML 预设格式 字符"/>
    <w:semiHidden/>
    <w:qFormat/>
    <w:uiPriority w:val="99"/>
    <w:rPr>
      <w:rFonts w:ascii="Courier New" w:hAnsi="Courier New" w:cs="Courier New"/>
      <w:kern w:val="2"/>
    </w:rPr>
  </w:style>
  <w:style w:type="paragraph" w:customStyle="1" w:styleId="294">
    <w:name w:val="样式 标题 1 + (西文) 宋体 非加粗 黑色 两端对齐 左侧:  0 厘米 首行缩进:  0.89 厘米"/>
    <w:basedOn w:val="3"/>
    <w:qFormat/>
    <w:uiPriority w:val="0"/>
    <w:pPr>
      <w:keepNext/>
      <w:numPr>
        <w:ilvl w:val="0"/>
        <w:numId w:val="0"/>
      </w:numPr>
      <w:tabs>
        <w:tab w:val="left" w:pos="1140"/>
      </w:tabs>
      <w:autoSpaceDE/>
      <w:autoSpaceDN/>
      <w:ind w:left="1140" w:hanging="720"/>
    </w:pPr>
    <w:rPr>
      <w:rFonts w:ascii="宋体" w:hAnsi="宋体" w:eastAsia="宋体"/>
      <w:b/>
      <w:color w:val="000000"/>
      <w:kern w:val="0"/>
      <w:sz w:val="30"/>
      <w:szCs w:val="30"/>
    </w:rPr>
  </w:style>
  <w:style w:type="paragraph" w:customStyle="1" w:styleId="295">
    <w:name w:val="Char Char Char Char Char2 Char"/>
    <w:basedOn w:val="1"/>
    <w:qFormat/>
    <w:uiPriority w:val="0"/>
    <w:pPr>
      <w:adjustRightInd w:val="0"/>
      <w:snapToGrid w:val="0"/>
      <w:spacing w:line="360" w:lineRule="auto"/>
      <w:ind w:firstLine="200" w:firstLineChars="200"/>
    </w:pPr>
    <w:rPr>
      <w:szCs w:val="20"/>
    </w:rPr>
  </w:style>
  <w:style w:type="paragraph" w:customStyle="1" w:styleId="296">
    <w:name w:val="_Style 293"/>
    <w:basedOn w:val="3"/>
    <w:next w:val="1"/>
    <w:qFormat/>
    <w:uiPriority w:val="0"/>
    <w:pPr>
      <w:keepNext/>
      <w:keepLines/>
      <w:widowControl/>
      <w:numPr>
        <w:ilvl w:val="0"/>
        <w:numId w:val="0"/>
      </w:numPr>
      <w:autoSpaceDE/>
      <w:autoSpaceDN/>
      <w:adjustRightInd/>
      <w:snapToGrid/>
      <w:spacing w:before="480" w:line="276" w:lineRule="auto"/>
      <w:jc w:val="left"/>
      <w:outlineLvl w:val="9"/>
    </w:pPr>
    <w:rPr>
      <w:rFonts w:ascii="Cambria" w:hAnsi="Cambria" w:eastAsia="宋体"/>
      <w:b/>
      <w:color w:val="365F91"/>
      <w:kern w:val="0"/>
      <w:sz w:val="28"/>
      <w:szCs w:val="20"/>
    </w:rPr>
  </w:style>
  <w:style w:type="paragraph" w:styleId="297">
    <w:name w:val="No Spacing"/>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298">
    <w:name w:val="目录"/>
    <w:basedOn w:val="1"/>
    <w:qFormat/>
    <w:uiPriority w:val="0"/>
    <w:pPr>
      <w:widowControl/>
      <w:jc w:val="center"/>
    </w:pPr>
    <w:rPr>
      <w:rFonts w:ascii="宋体"/>
      <w:b/>
      <w:kern w:val="0"/>
      <w:sz w:val="36"/>
      <w:szCs w:val="20"/>
    </w:rPr>
  </w:style>
  <w:style w:type="paragraph" w:customStyle="1" w:styleId="299">
    <w:name w:val="zw"/>
    <w:basedOn w:val="1"/>
    <w:qFormat/>
    <w:uiPriority w:val="0"/>
    <w:pPr>
      <w:widowControl/>
      <w:spacing w:before="30"/>
      <w:ind w:left="100" w:right="100"/>
    </w:pPr>
    <w:rPr>
      <w:rFonts w:ascii="方正书宋简体" w:hAnsi="宋体" w:eastAsia="方正书宋简体"/>
      <w:color w:val="000000"/>
      <w:kern w:val="0"/>
      <w:szCs w:val="21"/>
    </w:rPr>
  </w:style>
  <w:style w:type="character" w:customStyle="1" w:styleId="300">
    <w:name w:val="正文文本首行缩进 2 字符"/>
    <w:basedOn w:val="291"/>
    <w:semiHidden/>
    <w:qFormat/>
    <w:uiPriority w:val="99"/>
  </w:style>
  <w:style w:type="paragraph" w:customStyle="1" w:styleId="30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3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03">
    <w:name w:val="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304">
    <w:name w:val="Char Char Char"/>
    <w:basedOn w:val="1"/>
    <w:qFormat/>
    <w:uiPriority w:val="0"/>
    <w:rPr>
      <w:rFonts w:ascii="Calibri" w:hAnsi="Calibri"/>
    </w:rPr>
  </w:style>
  <w:style w:type="paragraph" w:customStyle="1" w:styleId="305">
    <w:name w:val="Char Char Char Char Char Char"/>
    <w:basedOn w:val="1"/>
    <w:qFormat/>
    <w:uiPriority w:val="0"/>
    <w:rPr>
      <w:rFonts w:ascii="Calibri" w:hAnsi="Calibri"/>
    </w:rPr>
  </w:style>
  <w:style w:type="paragraph" w:customStyle="1" w:styleId="306">
    <w:name w:val=" Char Char30 Char Char"/>
    <w:basedOn w:val="1"/>
    <w:qFormat/>
    <w:uiPriority w:val="0"/>
  </w:style>
  <w:style w:type="paragraph" w:customStyle="1" w:styleId="307">
    <w:name w:val="WW-表格标题"/>
    <w:basedOn w:val="308"/>
    <w:qFormat/>
    <w:uiPriority w:val="0"/>
    <w:rPr>
      <w:rFonts w:ascii="Times New Roman" w:hAnsi="Times New Roman"/>
    </w:rPr>
  </w:style>
  <w:style w:type="paragraph" w:customStyle="1" w:styleId="308">
    <w:name w:val="WW-表格内容"/>
    <w:basedOn w:val="1"/>
    <w:qFormat/>
    <w:uiPriority w:val="0"/>
    <w:pPr>
      <w:suppressLineNumbers/>
      <w:suppressAutoHyphens/>
    </w:pPr>
    <w:rPr>
      <w:rFonts w:ascii="Calibri" w:hAnsi="Calibri"/>
    </w:rPr>
  </w:style>
  <w:style w:type="paragraph" w:customStyle="1" w:styleId="309">
    <w:name w:val="Char Char Char Char Char Char Char"/>
    <w:basedOn w:val="1"/>
    <w:qFormat/>
    <w:uiPriority w:val="0"/>
    <w:rPr>
      <w:rFonts w:ascii="Calibri" w:hAnsi="Calibri"/>
      <w:szCs w:val="20"/>
    </w:rPr>
  </w:style>
  <w:style w:type="character" w:customStyle="1" w:styleId="310">
    <w:name w:val="副标题 字符"/>
    <w:qFormat/>
    <w:uiPriority w:val="11"/>
    <w:rPr>
      <w:rFonts w:ascii="等线 Light" w:hAnsi="等线 Light" w:cs="Times New Roman"/>
      <w:b/>
      <w:bCs/>
      <w:kern w:val="28"/>
      <w:sz w:val="32"/>
      <w:szCs w:val="32"/>
    </w:rPr>
  </w:style>
  <w:style w:type="paragraph" w:customStyle="1" w:styleId="311">
    <w:name w:val="pa-27"/>
    <w:basedOn w:val="1"/>
    <w:qFormat/>
    <w:uiPriority w:val="0"/>
    <w:pPr>
      <w:widowControl/>
      <w:spacing w:line="360" w:lineRule="atLeast"/>
      <w:ind w:firstLine="420"/>
    </w:pPr>
    <w:rPr>
      <w:rFonts w:ascii="宋体" w:hAnsi="宋体" w:cs="宋体"/>
      <w:kern w:val="0"/>
      <w:sz w:val="24"/>
    </w:rPr>
  </w:style>
  <w:style w:type="paragraph" w:customStyle="1" w:styleId="312">
    <w:name w:val=" Char7"/>
    <w:basedOn w:val="1"/>
    <w:qFormat/>
    <w:uiPriority w:val="0"/>
    <w:pPr>
      <w:widowControl/>
      <w:spacing w:after="160" w:line="240" w:lineRule="exact"/>
      <w:jc w:val="left"/>
    </w:pPr>
    <w:rPr>
      <w:szCs w:val="20"/>
    </w:rPr>
  </w:style>
  <w:style w:type="paragraph" w:customStyle="1" w:styleId="313">
    <w:name w:val="CM95"/>
    <w:basedOn w:val="1"/>
    <w:next w:val="1"/>
    <w:qFormat/>
    <w:uiPriority w:val="0"/>
    <w:pPr>
      <w:autoSpaceDE w:val="0"/>
      <w:autoSpaceDN w:val="0"/>
      <w:adjustRightInd w:val="0"/>
      <w:spacing w:after="115"/>
      <w:jc w:val="left"/>
    </w:pPr>
    <w:rPr>
      <w:rFonts w:ascii="宋体"/>
      <w:kern w:val="0"/>
      <w:sz w:val="24"/>
    </w:rPr>
  </w:style>
  <w:style w:type="paragraph" w:customStyle="1" w:styleId="314">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315">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316">
    <w:name w:val="Char1"/>
    <w:basedOn w:val="1"/>
    <w:qFormat/>
    <w:uiPriority w:val="0"/>
    <w:pPr>
      <w:spacing w:beforeLines="50" w:afterLines="50"/>
    </w:pPr>
    <w:rPr>
      <w:rFonts w:ascii="Tahoma" w:hAnsi="Tahoma"/>
      <w:sz w:val="24"/>
      <w:szCs w:val="20"/>
    </w:rPr>
  </w:style>
  <w:style w:type="character" w:customStyle="1" w:styleId="317">
    <w:name w:val="引用 字符"/>
    <w:qFormat/>
    <w:uiPriority w:val="29"/>
    <w:rPr>
      <w:i/>
      <w:iCs/>
      <w:color w:val="404040"/>
      <w:kern w:val="2"/>
      <w:sz w:val="21"/>
      <w:szCs w:val="24"/>
    </w:rPr>
  </w:style>
  <w:style w:type="character" w:customStyle="1" w:styleId="318">
    <w:name w:val="明显引用 字符"/>
    <w:qFormat/>
    <w:uiPriority w:val="30"/>
    <w:rPr>
      <w:i/>
      <w:iCs/>
      <w:color w:val="4472C4"/>
      <w:kern w:val="2"/>
      <w:sz w:val="21"/>
      <w:szCs w:val="24"/>
    </w:rPr>
  </w:style>
  <w:style w:type="paragraph" w:customStyle="1" w:styleId="31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32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21">
    <w:name w:val="_Style 319"/>
    <w:qFormat/>
    <w:uiPriority w:val="0"/>
    <w:rPr>
      <w:rFonts w:ascii="Times New Roman" w:hAnsi="Times New Roman" w:eastAsia="宋体" w:cs="Times New Roman"/>
      <w:kern w:val="2"/>
      <w:sz w:val="21"/>
      <w:lang w:val="en-US" w:eastAsia="zh-CN" w:bidi="ar-SA"/>
    </w:rPr>
  </w:style>
  <w:style w:type="paragraph" w:customStyle="1" w:styleId="322">
    <w:name w:val="Char Char9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23">
    <w:name w:val="样式2"/>
    <w:basedOn w:val="4"/>
    <w:qFormat/>
    <w:uiPriority w:val="0"/>
    <w:pPr>
      <w:keepNext/>
      <w:keepLines/>
      <w:snapToGrid/>
      <w:spacing w:before="260" w:after="260" w:line="300" w:lineRule="exact"/>
      <w:ind w:left="220" w:right="-20"/>
      <w:jc w:val="center"/>
    </w:pPr>
    <w:rPr>
      <w:rFonts w:ascii="宋体" w:hAnsi="宋体" w:eastAsia="宋体" w:cs="Times New Roman"/>
      <w:bCs/>
      <w:spacing w:val="0"/>
      <w:szCs w:val="28"/>
    </w:rPr>
  </w:style>
  <w:style w:type="paragraph" w:customStyle="1" w:styleId="324">
    <w:name w:val="默认段落字体 Para Char Char Char Char Char Char Char Char Char Char Char Char Char"/>
    <w:basedOn w:val="1"/>
    <w:qFormat/>
    <w:uiPriority w:val="0"/>
  </w:style>
  <w:style w:type="paragraph" w:customStyle="1" w:styleId="325">
    <w:name w:val="样式 标题 3 + (中文) 黑体 小四 非加粗 段前: 7.8 磅 段后: 0 磅 行距: 固定值 20 磅"/>
    <w:basedOn w:val="5"/>
    <w:qFormat/>
    <w:uiPriority w:val="0"/>
    <w:pPr>
      <w:keepNext/>
      <w:keepLines/>
      <w:autoSpaceDE/>
      <w:autoSpaceDN/>
      <w:adjustRightInd/>
      <w:spacing w:before="0" w:line="400" w:lineRule="exact"/>
      <w:jc w:val="both"/>
    </w:pPr>
    <w:rPr>
      <w:rFonts w:ascii="Times New Roman" w:eastAsia="黑体" w:cs="宋体"/>
      <w:b w:val="0"/>
      <w:bCs/>
      <w:kern w:val="2"/>
      <w:szCs w:val="20"/>
    </w:rPr>
  </w:style>
  <w:style w:type="paragraph" w:customStyle="1" w:styleId="326">
    <w:name w:val="表格标题"/>
    <w:basedOn w:val="275"/>
    <w:qFormat/>
    <w:uiPriority w:val="0"/>
    <w:rPr>
      <w:rFonts w:ascii="Times New Roman" w:hAnsi="Times New Roman"/>
    </w:rPr>
  </w:style>
  <w:style w:type="paragraph" w:customStyle="1" w:styleId="327">
    <w:name w:val="Char Char Char1 Char"/>
    <w:basedOn w:val="1"/>
    <w:qFormat/>
    <w:uiPriority w:val="0"/>
    <w:rPr>
      <w:rFonts w:ascii="Calibri" w:hAnsi="Calibri"/>
    </w:rPr>
  </w:style>
  <w:style w:type="paragraph" w:customStyle="1" w:styleId="328">
    <w:name w:val="样式1"/>
    <w:basedOn w:val="3"/>
    <w:qFormat/>
    <w:uiPriority w:val="0"/>
    <w:pPr>
      <w:keepNext/>
      <w:keepLines/>
      <w:numPr>
        <w:ilvl w:val="0"/>
        <w:numId w:val="0"/>
      </w:numPr>
      <w:snapToGrid/>
      <w:spacing w:before="340" w:after="330" w:line="340" w:lineRule="exact"/>
      <w:ind w:right="-20"/>
    </w:pPr>
    <w:rPr>
      <w:rFonts w:ascii="宋体" w:hAnsi="宋体" w:eastAsia="仿宋_GB2312"/>
      <w:b/>
      <w:bCs/>
      <w:kern w:val="0"/>
      <w:sz w:val="32"/>
      <w:szCs w:val="32"/>
    </w:rPr>
  </w:style>
  <w:style w:type="paragraph" w:customStyle="1" w:styleId="32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33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331">
    <w:name w:val="样式 标题 1 + 黑体 三号 非加粗 居中 段前: 6 磅 段后: 6 磅 行距: 固定值 20 磅"/>
    <w:basedOn w:val="3"/>
    <w:qFormat/>
    <w:uiPriority w:val="0"/>
    <w:pPr>
      <w:keepNext/>
      <w:keepLines/>
      <w:numPr>
        <w:ilvl w:val="0"/>
        <w:numId w:val="0"/>
      </w:numPr>
      <w:autoSpaceDE/>
      <w:autoSpaceDN/>
      <w:adjustRightInd/>
      <w:snapToGrid/>
      <w:spacing w:before="120" w:after="120" w:line="400" w:lineRule="exact"/>
    </w:pPr>
    <w:rPr>
      <w:rFonts w:ascii="黑体" w:hAnsi="黑体" w:eastAsia="宋体" w:cs="宋体"/>
      <w:kern w:val="44"/>
      <w:sz w:val="32"/>
      <w:szCs w:val="20"/>
    </w:rPr>
  </w:style>
  <w:style w:type="paragraph" w:customStyle="1" w:styleId="332">
    <w:name w:val=" Char"/>
    <w:basedOn w:val="17"/>
    <w:qFormat/>
    <w:uiPriority w:val="0"/>
    <w:pPr>
      <w:shd w:val="clear" w:color="auto" w:fill="000080"/>
      <w:spacing w:line="360" w:lineRule="auto"/>
      <w:ind w:firstLine="200" w:firstLineChars="200"/>
    </w:pPr>
    <w:rPr>
      <w:rFonts w:ascii="Times New Roman"/>
      <w:kern w:val="0"/>
      <w:szCs w:val="20"/>
    </w:rPr>
  </w:style>
  <w:style w:type="paragraph" w:customStyle="1" w:styleId="333">
    <w:name w:val="Char Char1 Char Char Char Char Char Char Char"/>
    <w:basedOn w:val="1"/>
    <w:qFormat/>
    <w:uiPriority w:val="0"/>
    <w:pPr>
      <w:pageBreakBefore/>
    </w:pPr>
    <w:rPr>
      <w:szCs w:val="20"/>
    </w:rPr>
  </w:style>
  <w:style w:type="paragraph" w:customStyle="1" w:styleId="334">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335">
    <w:name w:val="Normal_139"/>
    <w:qFormat/>
    <w:uiPriority w:val="0"/>
    <w:pPr>
      <w:spacing w:before="120" w:after="240"/>
      <w:jc w:val="both"/>
    </w:pPr>
    <w:rPr>
      <w:rFonts w:ascii="Times New Roman" w:hAnsi="Times New Roman" w:eastAsia="Calibri" w:cs="Times New Roman"/>
      <w:sz w:val="22"/>
      <w:szCs w:val="22"/>
      <w:lang w:val="en-US" w:eastAsia="en-US" w:bidi="ar-SA"/>
    </w:rPr>
  </w:style>
  <w:style w:type="paragraph" w:customStyle="1" w:styleId="336">
    <w:name w:val="2"/>
    <w:basedOn w:val="21"/>
    <w:next w:val="52"/>
    <w:link w:val="337"/>
    <w:qFormat/>
    <w:uiPriority w:val="0"/>
    <w:pPr>
      <w:spacing w:after="120"/>
      <w:ind w:firstLine="420" w:firstLineChars="100"/>
    </w:pPr>
    <w:rPr>
      <w:sz w:val="21"/>
      <w:szCs w:val="20"/>
    </w:rPr>
  </w:style>
  <w:style w:type="character" w:customStyle="1" w:styleId="337">
    <w:name w:val="正文首行缩进 Char"/>
    <w:link w:val="336"/>
    <w:qFormat/>
    <w:uiPriority w:val="0"/>
    <w:rPr>
      <w:kern w:val="2"/>
      <w:sz w:val="21"/>
    </w:rPr>
  </w:style>
  <w:style w:type="paragraph" w:customStyle="1" w:styleId="338">
    <w:name w:val="小标题"/>
    <w:basedOn w:val="105"/>
    <w:next w:val="105"/>
    <w:qFormat/>
    <w:uiPriority w:val="0"/>
    <w:pPr>
      <w:spacing w:line="480" w:lineRule="exact"/>
      <w:ind w:firstLine="0" w:firstLineChars="0"/>
      <w:outlineLvl w:val="2"/>
    </w:pPr>
    <w:rPr>
      <w:rFonts w:ascii="Times New Roman"/>
      <w:color w:val="000000"/>
      <w:kern w:val="0"/>
      <w:sz w:val="20"/>
      <w:shd w:val="clear" w:color="auto" w:fill="FFFFFF"/>
    </w:rPr>
  </w:style>
  <w:style w:type="paragraph" w:customStyle="1" w:styleId="339">
    <w:name w:val="part2"/>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340">
    <w:name w:val="招标节"/>
    <w:basedOn w:val="1"/>
    <w:next w:val="338"/>
    <w:qFormat/>
    <w:uiPriority w:val="0"/>
    <w:pPr>
      <w:spacing w:beforeLines="50" w:afterLines="50"/>
      <w:outlineLvl w:val="1"/>
    </w:pPr>
    <w:rPr>
      <w:b/>
      <w:kern w:val="0"/>
      <w:sz w:val="24"/>
      <w:szCs w:val="20"/>
    </w:rPr>
  </w:style>
  <w:style w:type="paragraph" w:customStyle="1" w:styleId="341">
    <w:name w:val="附件"/>
    <w:basedOn w:val="340"/>
    <w:qFormat/>
    <w:uiPriority w:val="0"/>
    <w:pPr>
      <w:spacing w:beforeLines="0" w:afterLines="0"/>
    </w:pPr>
    <w:rPr>
      <w:rFonts w:eastAsia="黑体"/>
      <w:szCs w:val="28"/>
    </w:rPr>
  </w:style>
  <w:style w:type="character" w:customStyle="1" w:styleId="342">
    <w:name w:val="_Style 340"/>
    <w:unhideWhenUsed/>
    <w:qFormat/>
    <w:uiPriority w:val="99"/>
    <w:rPr>
      <w:rFonts w:ascii="Times New Roman" w:hAnsi="Times New Roman" w:eastAsia="宋体" w:cs="Times New Roman"/>
      <w:color w:val="605E5C"/>
      <w:shd w:val="clear" w:color="auto" w:fill="E1DFDD"/>
    </w:rPr>
  </w:style>
  <w:style w:type="paragraph" w:customStyle="1" w:styleId="343">
    <w:name w:val="正文（缩进）"/>
    <w:basedOn w:val="1"/>
    <w:qFormat/>
    <w:uiPriority w:val="0"/>
    <w:pPr>
      <w:widowControl/>
      <w:spacing w:before="156" w:after="156" w:line="360" w:lineRule="auto"/>
      <w:ind w:firstLine="200" w:firstLineChars="200"/>
      <w:textAlignment w:val="baseline"/>
    </w:pPr>
    <w:rPr>
      <w:rFonts w:ascii="Calibri" w:hAnsi="Calibri"/>
      <w:sz w:val="24"/>
    </w:rPr>
  </w:style>
  <w:style w:type="paragraph" w:customStyle="1" w:styleId="344">
    <w:name w:val="列出段落1"/>
    <w:basedOn w:val="1"/>
    <w:qFormat/>
    <w:uiPriority w:val="0"/>
    <w:pPr>
      <w:widowControl/>
      <w:ind w:firstLine="420" w:firstLineChars="200"/>
      <w:textAlignment w:val="baseline"/>
    </w:pPr>
    <w:rPr>
      <w:rFonts w:ascii="Calibri" w:hAnsi="Calibri"/>
      <w:sz w:val="28"/>
      <w:szCs w:val="28"/>
    </w:rPr>
  </w:style>
  <w:style w:type="paragraph" w:customStyle="1" w:styleId="345">
    <w:name w:val="列出段落11"/>
    <w:basedOn w:val="1"/>
    <w:qFormat/>
    <w:uiPriority w:val="0"/>
    <w:pPr>
      <w:ind w:firstLine="420" w:firstLineChars="200"/>
    </w:pPr>
    <w:rPr>
      <w:sz w:val="28"/>
      <w:szCs w:val="28"/>
    </w:rPr>
  </w:style>
  <w:style w:type="paragraph" w:customStyle="1" w:styleId="346">
    <w:name w:val="520"/>
    <w:qFormat/>
    <w:uiPriority w:val="0"/>
    <w:pPr>
      <w:spacing w:line="360" w:lineRule="auto"/>
    </w:pPr>
    <w:rPr>
      <w:rFonts w:ascii="宋体" w:hAnsi="宋体" w:eastAsia="仿宋_GB2312" w:cs="Times New Roman"/>
      <w:b/>
      <w:kern w:val="2"/>
      <w:sz w:val="30"/>
      <w:szCs w:val="30"/>
      <w:lang w:val="en-US" w:eastAsia="zh-CN" w:bidi="ar-SA"/>
    </w:rPr>
  </w:style>
  <w:style w:type="paragraph" w:customStyle="1" w:styleId="347">
    <w:name w:val="自由格式"/>
    <w:qFormat/>
    <w:uiPriority w:val="0"/>
    <w:rPr>
      <w:rFonts w:ascii="Times New Roman" w:hAnsi="Times New Roman" w:eastAsia="ヒラギノ角ゴ Pro W3" w:cs="Times New Roman"/>
      <w:color w:val="000000"/>
      <w:lang w:val="en-US" w:eastAsia="zh-CN" w:bidi="ar-SA"/>
    </w:rPr>
  </w:style>
  <w:style w:type="character" w:customStyle="1" w:styleId="348">
    <w:name w:val="font01"/>
    <w:basedOn w:val="56"/>
    <w:qFormat/>
    <w:uiPriority w:val="0"/>
    <w:rPr>
      <w:rFonts w:hint="eastAsia" w:ascii="宋体" w:hAnsi="宋体" w:eastAsia="宋体" w:cs="宋体"/>
      <w:color w:val="000000"/>
      <w:sz w:val="22"/>
      <w:szCs w:val="22"/>
      <w:u w:val="none"/>
    </w:rPr>
  </w:style>
  <w:style w:type="character" w:customStyle="1" w:styleId="349">
    <w:name w:val="font101"/>
    <w:basedOn w:val="56"/>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37621</Words>
  <Characters>39746</Characters>
  <Lines>220</Lines>
  <Paragraphs>62</Paragraphs>
  <TotalTime>0</TotalTime>
  <ScaleCrop>false</ScaleCrop>
  <LinksUpToDate>false</LinksUpToDate>
  <CharactersWithSpaces>44225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2017-02-17T13:39:00Z</dcterms:created>
  <dc:creator>微软用户</dc:creator>
  <cp:lastModifiedBy>吴安峰</cp:lastModifiedBy>
  <cp:lastPrinted>2024-03-11T04:27:00Z</cp:lastPrinted>
  <dcterms:modified xsi:type="dcterms:W3CDTF">2025-12-12T06:24:58Z</dcterms:modified>
  <dc:title>罗家村云头岩至张金山公路硬化工程（比选文件）</dc:title>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385F346D7D504C19AF1987966139B0E8</vt:lpwstr>
  </property>
  <property fmtid="{D5CDD505-2E9C-101B-9397-08002B2CF9AE}" pid="4" name="commondata">
    <vt:lpwstr>eyJoZGlkIjoiZWMwNmM2ZTdiYjA3MWE1MWUzMTY3ODgwMzkwZmNhNjAifQ==</vt:lpwstr>
  </property>
</Properties>
</file>